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5D6E1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1BC14E28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61E014E5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6C8E7027" w14:textId="77777777" w:rsidR="0022631D" w:rsidRPr="0022631D" w:rsidRDefault="0022631D" w:rsidP="0083728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F7175A4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EBAD697" w14:textId="2C84F9DA" w:rsidR="0022631D" w:rsidRDefault="00F94599" w:rsidP="00747E40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sz w:val="20"/>
          <w:lang w:val="af-ZA"/>
        </w:rPr>
        <w:t xml:space="preserve">Երևանի </w:t>
      </w:r>
      <w:r w:rsidR="00747E40" w:rsidRPr="00923082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u w:val="single"/>
          <w:lang w:val="af-ZA"/>
        </w:rPr>
        <w:t>Բաղրամյան ԱԿ</w:t>
      </w:r>
      <w:r w:rsidR="00747E40" w:rsidRPr="00724F6A">
        <w:rPr>
          <w:rFonts w:ascii="GHEA Grapalat" w:hAnsi="GHEA Grapalat" w:cs="Sylfaen"/>
          <w:sz w:val="20"/>
          <w:u w:val="single"/>
          <w:lang w:val="af-ZA"/>
        </w:rPr>
        <w:t>»</w:t>
      </w:r>
      <w:r w:rsidR="00747E40" w:rsidRPr="00923082">
        <w:rPr>
          <w:rFonts w:ascii="GHEA Grapalat" w:hAnsi="GHEA Grapalat" w:cs="Sylfaen"/>
          <w:sz w:val="20"/>
          <w:lang w:val="af-ZA"/>
        </w:rPr>
        <w:t xml:space="preserve">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47E4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47E40" w:rsidRPr="00747E40">
        <w:rPr>
          <w:rFonts w:ascii="GHEA Grapalat" w:eastAsia="Times New Roman" w:hAnsi="GHEA Grapalat" w:cs="Sylfaen"/>
          <w:sz w:val="20"/>
          <w:szCs w:val="20"/>
          <w:lang w:val="hy-AM" w:eastAsia="ru-RU"/>
        </w:rPr>
        <w:t>ք</w:t>
      </w:r>
      <w:r w:rsidR="00747E40">
        <w:rPr>
          <w:rFonts w:ascii="MS Mincho" w:eastAsia="MS Mincho" w:hAnsi="MS Mincho" w:cs="MS Mincho"/>
          <w:sz w:val="20"/>
          <w:szCs w:val="20"/>
          <w:lang w:val="hy-AM" w:eastAsia="ru-RU"/>
        </w:rPr>
        <w:t>․</w:t>
      </w:r>
      <w:r w:rsidR="00747E40" w:rsidRPr="00747E40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Երևան, Բաղրամյան 51</w:t>
      </w:r>
      <w:r w:rsidR="00490EF8" w:rsidRPr="00490EF8">
        <w:rPr>
          <w:rFonts w:ascii="GHEA Grapalat" w:eastAsia="Times New Roman" w:hAnsi="GHEA Grapalat" w:cs="Sylfaen"/>
          <w:sz w:val="20"/>
          <w:szCs w:val="20"/>
          <w:lang w:val="af-ZA" w:eastAsia="ru-RU"/>
        </w:rPr>
        <w:t>/2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747E40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ներկայացնում է իր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0D1147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քիմիական</w:t>
      </w:r>
      <w:r w:rsidR="000D1147" w:rsidRPr="000D114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0D1147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նյութեր</w:t>
      </w:r>
      <w:r w:rsidR="005F0580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ի</w:t>
      </w:r>
      <w:r w:rsidR="005F0580" w:rsidRPr="005F058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5F0580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և</w:t>
      </w:r>
      <w:r w:rsidR="005F0580" w:rsidRPr="005F058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5F0580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պարագաներ</w:t>
      </w:r>
      <w:r w:rsidR="000D1147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ի</w:t>
      </w:r>
      <w:r w:rsidR="00747E40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747E40" w:rsidRPr="00724F6A">
        <w:rPr>
          <w:rFonts w:ascii="GHEA Grapalat" w:hAnsi="GHEA Grapalat" w:cs="Sylfaen"/>
          <w:sz w:val="20"/>
          <w:u w:val="single"/>
          <w:lang w:val="af-ZA"/>
        </w:rPr>
        <w:t>Թ8ՊՈԼ-</w:t>
      </w:r>
      <w:r w:rsidR="00747E40">
        <w:rPr>
          <w:rFonts w:ascii="GHEA Grapalat" w:hAnsi="GHEA Grapalat" w:cs="Sylfaen"/>
          <w:sz w:val="20"/>
          <w:u w:val="single"/>
          <w:lang w:val="ru-RU"/>
        </w:rPr>
        <w:t>Գ</w:t>
      </w:r>
      <w:r w:rsidR="00747E40" w:rsidRPr="00724F6A">
        <w:rPr>
          <w:rFonts w:ascii="GHEA Grapalat" w:hAnsi="GHEA Grapalat" w:cs="Sylfaen"/>
          <w:sz w:val="20"/>
          <w:u w:val="single"/>
          <w:lang w:val="af-ZA"/>
        </w:rPr>
        <w:t>ՀԱՊՁԲ</w:t>
      </w:r>
      <w:r w:rsidR="00747E4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2</w:t>
      </w:r>
      <w:r w:rsidR="00504579">
        <w:rPr>
          <w:rFonts w:ascii="GHEA Grapalat" w:hAnsi="GHEA Grapalat" w:cs="Sylfaen"/>
          <w:sz w:val="20"/>
          <w:u w:val="single"/>
          <w:lang w:val="af-ZA"/>
        </w:rPr>
        <w:t>6</w:t>
      </w:r>
      <w:r w:rsidR="00747E40" w:rsidRPr="00724F6A">
        <w:rPr>
          <w:rFonts w:ascii="GHEA Grapalat" w:hAnsi="GHEA Grapalat" w:cs="Sylfaen"/>
          <w:sz w:val="20"/>
          <w:u w:val="single"/>
          <w:lang w:val="af-ZA"/>
        </w:rPr>
        <w:t>/</w:t>
      </w:r>
      <w:r w:rsidR="006C378A">
        <w:rPr>
          <w:rFonts w:ascii="GHEA Grapalat" w:hAnsi="GHEA Grapalat" w:cs="Sylfaen"/>
          <w:sz w:val="20"/>
          <w:u w:val="single"/>
          <w:lang w:val="af-ZA"/>
        </w:rPr>
        <w:t>3</w:t>
      </w:r>
      <w:r w:rsidR="00747E40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7E6C08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03"/>
        <w:gridCol w:w="64"/>
        <w:gridCol w:w="497"/>
        <w:gridCol w:w="717"/>
        <w:gridCol w:w="139"/>
        <w:gridCol w:w="205"/>
        <w:gridCol w:w="648"/>
        <w:gridCol w:w="323"/>
        <w:gridCol w:w="384"/>
        <w:gridCol w:w="457"/>
        <w:gridCol w:w="112"/>
        <w:gridCol w:w="122"/>
        <w:gridCol w:w="19"/>
        <w:gridCol w:w="851"/>
        <w:gridCol w:w="364"/>
        <w:gridCol w:w="334"/>
        <w:gridCol w:w="11"/>
        <w:gridCol w:w="584"/>
        <w:gridCol w:w="203"/>
        <w:gridCol w:w="340"/>
        <w:gridCol w:w="769"/>
        <w:gridCol w:w="637"/>
        <w:gridCol w:w="230"/>
        <w:gridCol w:w="72"/>
        <w:gridCol w:w="288"/>
        <w:gridCol w:w="1930"/>
      </w:tblGrid>
      <w:tr w:rsidR="0022631D" w:rsidRPr="0022631D" w14:paraId="377CDB36" w14:textId="77777777" w:rsidTr="006C378A">
        <w:trPr>
          <w:trHeight w:val="146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50C739A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6" w:type="dxa"/>
            <w:gridSpan w:val="24"/>
            <w:shd w:val="clear" w:color="auto" w:fill="auto"/>
            <w:vAlign w:val="center"/>
          </w:tcPr>
          <w:p w14:paraId="05FC34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CBC70D0" w14:textId="77777777" w:rsidTr="00443EF0">
        <w:trPr>
          <w:trHeight w:val="110"/>
        </w:trPr>
        <w:tc>
          <w:tcPr>
            <w:tcW w:w="976" w:type="dxa"/>
            <w:gridSpan w:val="3"/>
            <w:vMerge w:val="restart"/>
            <w:shd w:val="clear" w:color="auto" w:fill="auto"/>
            <w:vAlign w:val="center"/>
          </w:tcPr>
          <w:p w14:paraId="4BF279B6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vAlign w:val="center"/>
          </w:tcPr>
          <w:p w14:paraId="303425D1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5B9B8F93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79DFF3A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1F928A0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835" w:type="dxa"/>
            <w:gridSpan w:val="7"/>
            <w:vMerge w:val="restart"/>
            <w:shd w:val="clear" w:color="auto" w:fill="auto"/>
            <w:vAlign w:val="center"/>
          </w:tcPr>
          <w:p w14:paraId="53C547D1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18" w:type="dxa"/>
            <w:gridSpan w:val="2"/>
            <w:vMerge w:val="restart"/>
            <w:shd w:val="clear" w:color="auto" w:fill="auto"/>
            <w:vAlign w:val="center"/>
          </w:tcPr>
          <w:p w14:paraId="5260F5A4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1B276FBA" w14:textId="77777777" w:rsidTr="00443EF0">
        <w:trPr>
          <w:trHeight w:val="175"/>
        </w:trPr>
        <w:tc>
          <w:tcPr>
            <w:tcW w:w="976" w:type="dxa"/>
            <w:gridSpan w:val="3"/>
            <w:vMerge/>
            <w:shd w:val="clear" w:color="auto" w:fill="auto"/>
            <w:vAlign w:val="center"/>
          </w:tcPr>
          <w:p w14:paraId="1440CC6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  <w:vAlign w:val="center"/>
          </w:tcPr>
          <w:p w14:paraId="14EE7A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1BDFC1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14:paraId="721F40A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0" w:type="dxa"/>
            <w:gridSpan w:val="4"/>
            <w:vMerge w:val="restart"/>
            <w:shd w:val="clear" w:color="auto" w:fill="auto"/>
            <w:vAlign w:val="center"/>
          </w:tcPr>
          <w:p w14:paraId="33FFBF7A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756174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835" w:type="dxa"/>
            <w:gridSpan w:val="7"/>
            <w:vMerge/>
            <w:shd w:val="clear" w:color="auto" w:fill="auto"/>
          </w:tcPr>
          <w:p w14:paraId="36BA648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2"/>
            <w:vMerge/>
            <w:shd w:val="clear" w:color="auto" w:fill="auto"/>
          </w:tcPr>
          <w:p w14:paraId="27AFB7B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1B4CBC8" w14:textId="77777777" w:rsidTr="00443EF0">
        <w:trPr>
          <w:trHeight w:val="275"/>
        </w:trPr>
        <w:tc>
          <w:tcPr>
            <w:tcW w:w="9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5E54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A6D5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0E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CF7C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B88C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C210C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CBDDF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8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0D7CFF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0F5597F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43EF0" w:rsidRPr="005F0580" w14:paraId="4C2D5955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6FFA8FB2" w14:textId="11FF90E1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789E9" w14:textId="5FC4861A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Նոսրացնող լուծույթ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29F5C" w14:textId="79B05276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8488608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AB340" w14:textId="46A4D941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600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B8FFD" w14:textId="3A28A341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FD2EB" w14:textId="1C553CA2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B84CD" w14:textId="611CEBB3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Նոսրացնող լուծույթ նախատեսված MINDRAY BC 700 ավտոմատարյունաբանական վերլուծիչի համար։ Ֆորմատ 20 լիտր։ /օրիգինալ MINDRAY ընկերության արտադրության, տվյալ կետը դիտարկվում է սարքավորման անխափանաշխատանքիհամար։</w:t>
            </w: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250AA" w14:textId="6C2023BD" w:rsidR="00443EF0" w:rsidRPr="00490EF8" w:rsidRDefault="00443EF0" w:rsidP="00443EF0">
            <w:pPr>
              <w:widowControl w:val="0"/>
              <w:spacing w:before="0" w:after="0"/>
              <w:ind w:left="32" w:hanging="32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Նոսրացնող լուծույթ նախատեսված MINDRAY BC 700 ավտոմատարյունաբանական վերլուծիչի համար։ Ֆորմատ 20 լիտր։ </w:t>
            </w:r>
          </w:p>
        </w:tc>
      </w:tr>
      <w:tr w:rsidR="00443EF0" w:rsidRPr="005F0580" w14:paraId="520B2D2B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02C8E7FA" w14:textId="2908A53B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809FB" w14:textId="2E4C807F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LD Լիզացնող լուծույթ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3C9D0" w14:textId="4DDC1684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0020310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C2FC4" w14:textId="3D2F7D0D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13977" w14:textId="440BD246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633BE" w14:textId="04A32EED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BCBA1" w14:textId="4D49F32E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>LD Լիզացնող լուծույթ նախատեսված MINDRAY BC 700 ավտոմատարյունաբանական վերլուծիչի համար։ Ֆորմատ 1լիտր /օրիգինալ MINDRAY ընկերության արտադրության, տվյալ կետը դիտարկվում է սարքավորման անխափանաշխատանքիհամար։/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F9D88" w14:textId="28080AB0" w:rsidR="00443EF0" w:rsidRPr="00490EF8" w:rsidRDefault="00443EF0" w:rsidP="00443EF0">
            <w:pPr>
              <w:widowControl w:val="0"/>
              <w:spacing w:before="0" w:after="0"/>
              <w:ind w:left="32" w:hanging="32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LD Լիզացնող լուծույթ նախատեսված MINDRAY BC 700 ավտոմատարյունաբանական վերլուծիչի համար։ Ֆորմատ 1լիտր </w:t>
            </w:r>
          </w:p>
        </w:tc>
      </w:tr>
      <w:tr w:rsidR="00443EF0" w:rsidRPr="005F0580" w14:paraId="293056DB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11D09E65" w14:textId="317960BE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94A7B" w14:textId="023F8DB7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LH  Լիզացնող լուծույթ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B1697" w14:textId="2CEF0AEF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EE8AC1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D72B" w14:textId="61DD2334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46A48" w14:textId="148EA338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E27F2" w14:textId="034BF166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F35F3" w14:textId="71D69C77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gramStart"/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>LH  Լիզացնող</w:t>
            </w:r>
            <w:proofErr w:type="gramEnd"/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լուծույթ նախատեսված MINDRAY BC 700 ավտոմատարյունաբանական վերլուծիչի համար։ Ֆորմատ 1լիտր /օրիգինալ MINDRAY ընկերության արտադրության, տվյալ կետը դիտարկվում է սարքավորման անխափանաշխատանքիհամար։/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5663F" w14:textId="578ED3AF" w:rsidR="00443EF0" w:rsidRPr="00490EF8" w:rsidRDefault="00443EF0" w:rsidP="00443EF0">
            <w:pPr>
              <w:widowControl w:val="0"/>
              <w:spacing w:before="0" w:after="0"/>
              <w:ind w:left="32" w:hanging="32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gramStart"/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</w:rPr>
              <w:t>LH  Լիզացնող</w:t>
            </w:r>
            <w:proofErr w:type="gramEnd"/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լուծույթ նախատեսված MINDRAY BC 700 ավտոմատարյունաբանական վերլուծիչի համար։ Ֆորմատ 1լիտր </w:t>
            </w:r>
          </w:p>
        </w:tc>
      </w:tr>
      <w:tr w:rsidR="00443EF0" w:rsidRPr="005F0580" w14:paraId="4384B69B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3E80CC7A" w14:textId="5F164BBE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131A5" w14:textId="51A5066D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FD DYE Ներկող լուծույթ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A7229" w14:textId="610AB6C1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30A8C66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9087B" w14:textId="7B9C66AA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576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75863" w14:textId="3F186260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6919F" w14:textId="13788B7B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D81CB" w14:textId="3C25F8E7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FD DYE Ներկող </w:t>
            </w:r>
            <w:proofErr w:type="gramStart"/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>լուծույթ  նախատեսված</w:t>
            </w:r>
            <w:proofErr w:type="gramEnd"/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MINDRAY BC 700 ավտոմատարյունաբանական վերլուծիչի համար։ Ֆորմատ 48միլիլիտր /օրիգինալ MINDRAY ընկերության արտադրության, տվյալ կետը դիտարկվում է սարքավորման անխափանաշխատանքիհամար։/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8F3FC" w14:textId="1D5BC0EF" w:rsidR="00443EF0" w:rsidRPr="00490EF8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FD DYE Ներկող </w:t>
            </w:r>
            <w:proofErr w:type="gramStart"/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</w:rPr>
              <w:t>լուծույթ  նախատեսված</w:t>
            </w:r>
            <w:proofErr w:type="gramEnd"/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MINDRAY BC 700 ավտոմատարյունաբանական վերլուծիչի համար։ Ֆորմատ 48 միլիլիտր </w:t>
            </w:r>
          </w:p>
        </w:tc>
      </w:tr>
      <w:tr w:rsidR="00443EF0" w:rsidRPr="005F0580" w14:paraId="09CA5910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555E2AA7" w14:textId="721D72F1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73A69" w14:textId="326F71D8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ԷՆԱ-ի լուծույթ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89DA4" w14:textId="1D8ED222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BB49210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468D3" w14:textId="3A1B93B9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36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6279E" w14:textId="2582DE35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A9E62" w14:textId="128BB4B9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AE21B" w14:textId="52726635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ԷՆԱ-ի լուծույթ նախատեսված MINDRAY BC 700 ավտոմատ արյունաբանական վերլուծիչի համար։ Ֆորմատ 1լիտր /օրիգինալ MINDRAY ընկերության արտադրության, տվյալ կետը դիտարկվում է սարքավորման անխափանաշխատանքիհամար։</w:t>
            </w: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0EABF" w14:textId="64055AED" w:rsidR="00443EF0" w:rsidRPr="00490EF8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ԷՆԱ-ի լուծույթ նախատեսված MINDRAY BC 700 ավտոմատ արյունաբանական վերլուծիչի համար։ Ֆորմատ 1լիտր </w:t>
            </w:r>
          </w:p>
        </w:tc>
      </w:tr>
      <w:tr w:rsidR="00443EF0" w:rsidRPr="005F0580" w14:paraId="60A158D3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32C76CB7" w14:textId="1EB34701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28146" w14:textId="5FDF7814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Մաքրող լուծույթ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61746" w14:textId="3E84FB1A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մլ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F79ECA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3745D" w14:textId="4EFF05BC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750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3EA7B" w14:textId="28936F39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2A3A" w14:textId="7744C8D2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BE017" w14:textId="5264A4F3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Մաքրող լուծույթ նախատեսված MINDRAY BC 700 ավտոմատ արյունաբանական վերլուծիչի համար։ Ֆորմատ 50միլիլիտր /օրիգինալ MINDRAY ընկերության </w:t>
            </w: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արտադրության, տվյալ կետը դիտարկվում է սարքավորման անխափանաշխատանքիհամար։</w:t>
            </w: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0B735" w14:textId="3C7E2897" w:rsidR="00443EF0" w:rsidRPr="00490EF8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 xml:space="preserve">Մաքրող լուծույթ նախատեսված MINDRAY BC 700 ավտոմատ արյունաբանական վերլուծիչի համար։ </w:t>
            </w:r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 xml:space="preserve">Ֆորմատ 50 միլիլիտր </w:t>
            </w:r>
          </w:p>
        </w:tc>
      </w:tr>
      <w:tr w:rsidR="00443EF0" w:rsidRPr="005F0580" w14:paraId="4D33620F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28D97823" w14:textId="67DE250C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color w:val="000000"/>
                <w:sz w:val="16"/>
                <w:szCs w:val="16"/>
                <w:lang w:val="ru-RU"/>
              </w:rPr>
              <w:lastRenderedPageBreak/>
              <w:t>7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29641" w14:textId="1397702C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Արյան ընդհանուր հետազոտության ստուգիչ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B16A7" w14:textId="461EC03F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290D2BE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1A734" w14:textId="288BDBDC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84A30" w14:textId="3B1E9AA0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32D42D" w14:textId="3A4A21BA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299CB" w14:textId="29A5C05A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Նախատեսված MINDRAY BC 700 ավտոմատ արյունաբանական վերլուծիչի համար։ </w:t>
            </w: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>Ֆորմատ՝ մեկանգամյա ստուգման համար: Երեք մակարդակ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2B340" w14:textId="4EE7F14F" w:rsidR="00443EF0" w:rsidRPr="00490EF8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Նախատեսված MINDRAY BC 700 ավտոմատ արյունաբանական վերլուծիչի համար։ </w:t>
            </w:r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</w:rPr>
              <w:t>Ֆորմատ՝ մեկանգամյա ստուգման համար: Երեք մակարդակ</w:t>
            </w:r>
          </w:p>
        </w:tc>
      </w:tr>
      <w:tr w:rsidR="00443EF0" w:rsidRPr="005F0580" w14:paraId="1EB979BF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4745C20D" w14:textId="6EDE3F53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23614" w14:textId="11F5C035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Սուլֆոսալիցիլաթթու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1706F" w14:textId="3D0AD236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65343FD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42FCD" w14:textId="187E433E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AC514" w14:textId="201EB974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788FA" w14:textId="237E39D8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EAA32" w14:textId="2BF3331E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>Խիտ</w:t>
            </w:r>
            <w:r w:rsidRPr="006C378A">
              <w:rPr>
                <w:rFonts w:cs="Calibri"/>
                <w:color w:val="000000"/>
                <w:sz w:val="16"/>
                <w:szCs w:val="16"/>
              </w:rPr>
              <w:t xml:space="preserve">, </w:t>
            </w:r>
            <w:r w:rsidRPr="006C378A">
              <w:rPr>
                <w:rFonts w:ascii="Sylfaen" w:hAnsi="Sylfaen" w:cs="Calibri"/>
                <w:color w:val="000000"/>
                <w:sz w:val="16"/>
                <w:szCs w:val="16"/>
              </w:rPr>
              <w:t>քիմիապես</w:t>
            </w:r>
            <w:r w:rsidRPr="006C378A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6C378A">
              <w:rPr>
                <w:rFonts w:ascii="Sylfaen" w:hAnsi="Sylfaen" w:cs="Calibri"/>
                <w:color w:val="000000"/>
                <w:sz w:val="16"/>
                <w:szCs w:val="16"/>
              </w:rPr>
              <w:t>մաքուր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43608" w14:textId="432C2EE7" w:rsidR="00443EF0" w:rsidRPr="00490EF8" w:rsidRDefault="00443EF0" w:rsidP="00443EF0">
            <w:pPr>
              <w:widowControl w:val="0"/>
              <w:spacing w:before="0" w:after="0"/>
              <w:ind w:left="0" w:firstLine="0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</w:p>
        </w:tc>
      </w:tr>
      <w:tr w:rsidR="00443EF0" w:rsidRPr="005F0580" w14:paraId="6F41BE77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4C8047A3" w14:textId="1AB19620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91B58" w14:textId="4E90FF1E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Գլիցերին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AE4B9" w14:textId="09CC1B6F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155A76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C1EC2" w14:textId="3EE65D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4D3AA" w14:textId="55BD5C00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8FCC5" w14:textId="40995FD6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5ED81" w14:textId="1EFDA8E3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  <w:r w:rsidRPr="006C378A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542D5" w14:textId="111030D5" w:rsidR="00443EF0" w:rsidRPr="00490EF8" w:rsidRDefault="00443EF0" w:rsidP="00443EF0">
            <w:pPr>
              <w:widowControl w:val="0"/>
              <w:spacing w:before="0" w:after="0"/>
              <w:ind w:left="0" w:firstLine="0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</w:p>
        </w:tc>
      </w:tr>
      <w:tr w:rsidR="00443EF0" w:rsidRPr="005F0580" w14:paraId="7732A615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4834DA4F" w14:textId="06D9C472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7E4F0" w14:textId="00D51102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Տրիյոդիտիրոնին /T3free/ ազատ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695AA" w14:textId="26919490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9A889B9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87EDD" w14:textId="269C840F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7930B" w14:textId="5C7F4311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0CDA9" w14:textId="56FE69B6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EB3DF" w14:textId="5E1C7FDB" w:rsidR="00443EF0" w:rsidRPr="006C378A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hyperlink r:id="rId9" w:history="1">
              <w:r w:rsidR="00443EF0" w:rsidRPr="006C378A">
                <w:rPr>
                  <w:rStyle w:val="Hyperlink"/>
                  <w:rFonts w:ascii="GHEA Grapalat" w:hAnsi="GHEA Grapalat" w:cs="Calibri"/>
                  <w:color w:val="000000"/>
                  <w:sz w:val="16"/>
                  <w:szCs w:val="16"/>
                  <w:lang w:val="hy-AM"/>
                </w:rPr>
                <w:t xml:space="preserve">Լիովին ավտոմատ MINDRAY  CLIA 900i  քեմիլյունմինեսցենտային իմմունային վերլուծության համակարգի  համար նախատեսված  ազատ Տրիյոդթիրոնինին քանակական  որոշման թեստ-հավաքածու (օրիգինալ MINDRAY ընկերության արտադրության, տվյալ կետը դիտարկվում է սարքավորման անխափան աշխատանքի համար) Ֆորմատ. </w:t>
              </w:r>
              <w:r w:rsidR="00443EF0" w:rsidRPr="006C378A">
                <w:rPr>
                  <w:rStyle w:val="Hyperlink"/>
                  <w:rFonts w:ascii="GHEA Grapalat" w:hAnsi="GHEA Grapalat" w:cs="Calibri"/>
                  <w:color w:val="000000"/>
                  <w:sz w:val="16"/>
                  <w:szCs w:val="16"/>
                </w:rPr>
                <w:t>Ոչ  ավել 100 թեստ:</w:t>
              </w:r>
            </w:hyperlink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745EE" w14:textId="785E3AC6" w:rsidR="00443EF0" w:rsidRPr="00490EF8" w:rsidRDefault="002F46BB" w:rsidP="00443EF0">
            <w:pPr>
              <w:widowControl w:val="0"/>
              <w:spacing w:before="0" w:after="0"/>
              <w:ind w:left="0" w:firstLine="0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hyperlink r:id="rId10" w:history="1">
              <w:r w:rsidR="00443EF0" w:rsidRPr="009C17D8">
                <w:rPr>
                  <w:rStyle w:val="Hyperlink"/>
                  <w:rFonts w:ascii="GHEA Grapalat" w:hAnsi="GHEA Grapalat" w:cs="Calibri"/>
                  <w:color w:val="000000"/>
                  <w:sz w:val="16"/>
                  <w:szCs w:val="16"/>
                  <w:lang w:val="hy-AM"/>
                </w:rPr>
                <w:t>Լիովին ավտոմատ MINDRAY  CLIA 900i  քեմիլյունմինեսցենտային իմմունային վերլուծության համակարգի  համար նախատեսված  ազատ Տրիյոդթիրոնինին քանակական  որոշման թեստ-հավաքածու Ֆորմատ. 100 թեստ:</w:t>
              </w:r>
            </w:hyperlink>
          </w:p>
        </w:tc>
      </w:tr>
      <w:tr w:rsidR="00443EF0" w:rsidRPr="005F0580" w14:paraId="6A43AA8E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63813FBD" w14:textId="435F8880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72DC4" w14:textId="00F571F2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Թիրոքսին ազատ /Տ4 free/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3BEED" w14:textId="45F263D1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60545B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0DAC3" w14:textId="5D830784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52B0D" w14:textId="193CBF91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1851D" w14:textId="65877DF8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C78E3" w14:textId="7570C019" w:rsidR="00443EF0" w:rsidRPr="006C378A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hyperlink r:id="rId11" w:history="1">
              <w:r w:rsidR="00443EF0" w:rsidRPr="006C378A">
                <w:rPr>
                  <w:rStyle w:val="Hyperlink"/>
                  <w:rFonts w:ascii="GHEA Grapalat" w:hAnsi="GHEA Grapalat" w:cs="Calibri"/>
                  <w:color w:val="000000"/>
                  <w:sz w:val="16"/>
                  <w:szCs w:val="16"/>
                  <w:lang w:val="hy-AM"/>
                </w:rPr>
                <w:t xml:space="preserve">Լիովին ավտոմատ MINDRAY  CLIA 900i  քեմիլյունմինեսցենտային իմմունային վերլուծության համակարգի  համար նախատեսված  ազատ թիրոքսինի քանակական  որոշման թեստ-հավաքածու (օրիգինալ MINDRAY ընկերության արտադրության, տվյալ կետը դիտարկվում է սարքավորման անխափան աշխատանքի համար) Ֆորմատ. </w:t>
              </w:r>
              <w:r w:rsidR="00443EF0" w:rsidRPr="006C378A">
                <w:rPr>
                  <w:rStyle w:val="Hyperlink"/>
                  <w:rFonts w:ascii="GHEA Grapalat" w:hAnsi="GHEA Grapalat" w:cs="Calibri"/>
                  <w:color w:val="000000"/>
                  <w:sz w:val="16"/>
                  <w:szCs w:val="16"/>
                </w:rPr>
                <w:t>Ոչ  ավել 100 թեստ:</w:t>
              </w:r>
            </w:hyperlink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65DA8" w14:textId="5201B571" w:rsidR="00443EF0" w:rsidRPr="000D4133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hyperlink r:id="rId12" w:history="1">
              <w:r w:rsidR="00443EF0" w:rsidRPr="009C17D8">
                <w:rPr>
                  <w:rStyle w:val="Hyperlink"/>
                  <w:rFonts w:ascii="GHEA Grapalat" w:hAnsi="GHEA Grapalat" w:cs="Calibri"/>
                  <w:color w:val="000000"/>
                  <w:sz w:val="16"/>
                  <w:szCs w:val="16"/>
                  <w:lang w:val="hy-AM"/>
                </w:rPr>
                <w:t>Լիովին ավտոմատ MINDRAY  CLIA 900i  քեմիլյունմինեսցենտային իմմունային վերլուծության համակարգի  համար նախատեսված  ազատ թիրոքսինի քանակական  որոշման թեստ-հավաքածու  Ֆորմատ. 100 թեստ:</w:t>
              </w:r>
            </w:hyperlink>
          </w:p>
        </w:tc>
      </w:tr>
      <w:tr w:rsidR="00443EF0" w:rsidRPr="005F0580" w14:paraId="6449153E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40F2F017" w14:textId="1C4B0BCC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1686A" w14:textId="064EBF72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Թիերոտրոպ հորմոն TSH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F7DFA" w14:textId="5185F358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8D0C700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F030D" w14:textId="06C44B84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16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D4B81A" w14:textId="4A8DCFBA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7A7FF" w14:textId="6AD3DA5B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4A05A" w14:textId="1D7DBFE9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Լիովին ավտոմատ MINDRAY  CLIA 900i  քեմիլյունմինեսցենտային իմմունային վերլուծության համակարգի  համար նախատեսված  թիրեոտրոպ հորմոնի քանակական  որոշման թեստ-հավաքածու (օրիգինալ MINDRAY ընկերության արտադրության, տվյալ կետը դիտարկվում է սարքավորման անխափան աշխատանքի համար) Ֆորմատ. </w:t>
            </w: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>Ոչ  ավել 100 թեստ: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877D0" w14:textId="269A7F1A" w:rsidR="00443EF0" w:rsidRPr="000D4133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Լիովին ավտոմատ MINDRAY  CLIA 900i  քեմիլյունմինեսցենտային իմմունային վերլուծության համակարգի  համար նախատեսված  թիրեոտրոպ հորմոնի քանակական  որոշման թեստ-հավաքածու Ֆորմատ. 100 թեստ:</w:t>
            </w:r>
          </w:p>
        </w:tc>
      </w:tr>
      <w:tr w:rsidR="00443EF0" w:rsidRPr="00504579" w14:paraId="2AF35FB3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62C0CB94" w14:textId="3B8B247D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EE7BA" w14:textId="7AACA2CC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Թիրեոիդ պերօքսիդազի նկատմամբ հակամարմինների  քանակական  որոշման թեստ-հավաքածու Anti TPO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C80D3" w14:textId="7592894D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786BF3E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3AE42" w14:textId="3391C465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0C06B" w14:textId="3D66F94C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28352" w14:textId="53A91AD5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487FB" w14:textId="0D47ABA7" w:rsidR="00443EF0" w:rsidRPr="006C378A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hyperlink r:id="rId13" w:history="1">
              <w:r w:rsidR="00443EF0" w:rsidRPr="006C378A">
                <w:rPr>
                  <w:rStyle w:val="Hyperlink"/>
                  <w:rFonts w:ascii="GHEA Grapalat" w:hAnsi="GHEA Grapalat" w:cs="Calibri"/>
                  <w:color w:val="000000"/>
                  <w:sz w:val="16"/>
                  <w:szCs w:val="16"/>
                  <w:lang w:val="hy-AM"/>
                </w:rPr>
                <w:t xml:space="preserve">Լիովին ավտոմատ MINDRAY  CLIA 900i  քեմիլյունմինեսցենտային իմմունային վերլուծության համակարգի  համար նախատեսված  Թիրեոիդ պերօքսիդազի նկատմամբ հակամարմինների  քանակական  որոշման թեստ-հավաքածու (օրիգինալ MINDRAY ընկերության արտադրության, տվյալ կետը դիտարկվում է սարքավորման անխափան աշխատանքի համար) Ֆորմատ. </w:t>
              </w:r>
              <w:r w:rsidR="00443EF0" w:rsidRPr="006C378A">
                <w:rPr>
                  <w:rStyle w:val="Hyperlink"/>
                  <w:rFonts w:ascii="GHEA Grapalat" w:hAnsi="GHEA Grapalat" w:cs="Calibri"/>
                  <w:color w:val="000000"/>
                  <w:sz w:val="16"/>
                  <w:szCs w:val="16"/>
                </w:rPr>
                <w:t>Ոչ  ավել 100 թեստ:</w:t>
              </w:r>
            </w:hyperlink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15B95" w14:textId="100AD420" w:rsidR="00443EF0" w:rsidRPr="000D4133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hyperlink r:id="rId14" w:history="1">
              <w:r w:rsidR="00443EF0" w:rsidRPr="009C17D8">
                <w:rPr>
                  <w:rStyle w:val="Hyperlink"/>
                  <w:rFonts w:ascii="GHEA Grapalat" w:hAnsi="GHEA Grapalat" w:cs="Calibri"/>
                  <w:color w:val="000000"/>
                  <w:sz w:val="16"/>
                  <w:szCs w:val="16"/>
                  <w:lang w:val="hy-AM"/>
                </w:rPr>
                <w:t xml:space="preserve">Լիովին ավտոմատ MINDRAY  CLIA 900i  քեմիլյունմինեսցենտային իմմունային վերլուծության համակարգի  համար նախատեսված  Թիրեոիդ պերօքսիդազի նկատմամբ հակամարմինների  քանակական  որոշման թեստ-հավաքածու  Ֆորմատ. </w:t>
              </w:r>
              <w:r w:rsidR="00443EF0" w:rsidRPr="009C17D8">
                <w:rPr>
                  <w:rStyle w:val="Hyperlink"/>
                  <w:rFonts w:ascii="GHEA Grapalat" w:hAnsi="GHEA Grapalat" w:cs="Calibri"/>
                  <w:color w:val="000000"/>
                  <w:sz w:val="16"/>
                  <w:szCs w:val="16"/>
                </w:rPr>
                <w:t>100 թեստ:</w:t>
              </w:r>
            </w:hyperlink>
          </w:p>
        </w:tc>
      </w:tr>
      <w:tr w:rsidR="00443EF0" w:rsidRPr="006C378A" w14:paraId="43A6B2F4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454B5ACD" w14:textId="51BE05F7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756D1" w14:textId="11B30DC9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Ընդհանուր պրոստատ-սպեցիֆիկ հակածնի </w:t>
            </w: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քանակական  որոշման թեստ-հավաքածու Total PSA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A82CB" w14:textId="0A503A84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տուփ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C786AC1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4531F" w14:textId="7A282E6E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57A0B" w14:textId="3276B393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7D129" w14:textId="0CD9192B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FF194" w14:textId="7C8B3640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Լիովին ավտոմատ MINDRAY  CLIA 900i  քեմիլյունմինեսցենտային իմմունային վերլուծության համակարգի  համար </w:t>
            </w: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 xml:space="preserve">նախատեսված  ընդհանուր պրոստատ-սպեցիֆիկ հակածնի քանակական  որոշման թեստ-հավաքածու (օրիգինալ MINDRAY ընկերության արտադրության, տվյալ կետը դիտարկվում է սարքավորման անխափան աշխատանքի համար) Ֆորմատ. </w:t>
            </w: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>Ոչ  ավել 100 թեստ: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392E2" w14:textId="0A7894A3" w:rsidR="00443EF0" w:rsidRPr="00BE615C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 xml:space="preserve">Լիովին ավտոմատ MINDRAY  CLIA 900i  քեմիլյունմինեսցենտային իմմունային վերլուծության </w:t>
            </w:r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համակարգի  համար նախատեսված  ընդհանուր պրոստատ-սպեցիֆիկ հակածնի քանակական  որոշման թեստ-հավաքածու:Ֆորմատ. 100 թեստ:</w:t>
            </w:r>
          </w:p>
        </w:tc>
      </w:tr>
      <w:tr w:rsidR="00443EF0" w:rsidRPr="006C378A" w14:paraId="49846857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58F3849F" w14:textId="147B3987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39F5B" w14:textId="1E9AF237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վիտամին D-ի քանակական  որոշման թեստ-հավաքածու Vitamin D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52680" w14:textId="3CF0E91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D52B812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C4D87" w14:textId="728A26B2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6F65B" w14:textId="0ED3D583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5D162" w14:textId="4C0552EB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E6BA8" w14:textId="239B5AE9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Լիովին ավտոմատ MINDRAY  CLIA 900i  քեմիլյունմինեսցենտային իմմունային վերլուծության համակարգի  համար նախատեսված  վիտամին D-ի քանակական  որոշման թեստ-հավաքածու (օրիգինալ MINDRAY ընկերության արտադրության, տվյալ կետը դիտարկվում է սարքավորման անխափան աշխատանքի համար) Ֆորմատ. </w:t>
            </w: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>Ոչ  ավել 100 թեստ: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4B158" w14:textId="76C163E3" w:rsidR="00443EF0" w:rsidRPr="00BE615C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Լիովին ավտոմատ MINDRAY  CLIA 900i  քեմիլյունմինեսցենտային իմմունային վերլուծության համակարգի  համար նախատեսված  վիտամին D-ի քանակական  որոշման թեստ-հավաքածու  Ֆորմատ. 100 թեստ:</w:t>
            </w:r>
          </w:p>
        </w:tc>
      </w:tr>
      <w:tr w:rsidR="00443EF0" w:rsidRPr="005F0580" w14:paraId="53E9C68C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635C1B64" w14:textId="6DFB1118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041" w14:textId="0AC0276D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վիտամին B12-ի քանակական  որոշման թեստ-հավաքածու Vitamin B12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DA127" w14:textId="224A813F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7C3274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86B74" w14:textId="38FB7ADE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EF66B" w14:textId="6FB2C486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01FF7" w14:textId="6C2F9C9C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C7304E" w14:textId="5D903524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Times Armenian" w:eastAsia="Times New Roman" w:hAnsi="Times Armenian" w:cs="Sylfaen"/>
                <w:bCs/>
                <w:sz w:val="16"/>
                <w:szCs w:val="16"/>
                <w:lang w:eastAsia="ru-RU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Լիովին ավտոմատ MINDRAY  CLIA 900i  քեմիլյունմինեսցենտային իմմունային վերլուծության համակարգի  համար նախատեսված  վիտամին B12-ի քանակական  որոշման թեստ-հավաքածու (օրիգինալ MINDRAY ընկերության արտադրության, տվյալ կետը դիտարկվում է սարքավորման անխափան աշխատանքի համար) Ֆորմատ. </w:t>
            </w: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>Ոչ  ավել 100 թեստ: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4F78E" w14:textId="7421E0B1" w:rsidR="00443EF0" w:rsidRPr="00102EAD" w:rsidRDefault="00443EF0" w:rsidP="00443EF0">
            <w:pPr>
              <w:widowControl w:val="0"/>
              <w:spacing w:before="0" w:after="0"/>
              <w:ind w:left="0" w:firstLine="0"/>
              <w:rPr>
                <w:rFonts w:ascii="Times Armenian" w:eastAsia="Times New Roman" w:hAnsi="Times Armenian" w:cs="Sylfaen"/>
                <w:bCs/>
                <w:sz w:val="14"/>
                <w:szCs w:val="14"/>
                <w:lang w:eastAsia="ru-RU"/>
              </w:rPr>
            </w:pPr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Լիովին ավտոմատ MINDRAY  CLIA 900i  քեմիլյունմինեսցենտային իմմունային վերլուծության համակարգի  համար նախատեսված  վիտամին B12-ի քանակական  որոշման թեստ-հավաքածու Ֆորմատ. 100 թեստ:</w:t>
            </w:r>
          </w:p>
        </w:tc>
      </w:tr>
      <w:tr w:rsidR="00443EF0" w:rsidRPr="006C378A" w14:paraId="38C6F152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6955AC96" w14:textId="479ACCC4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AEEC1" w14:textId="2A53B1CF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Լվացող լուծույթ Wash  buffer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A0C" w14:textId="7EE41084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լրակազմ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2F7D038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BE796" w14:textId="22A56866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13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03DFD" w14:textId="382A42E3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6B3E0" w14:textId="5932D60C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F9596" w14:textId="21FFA246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Լիովին ավտոմատ MINDRAY  CLIA 900i  քեմիլյունմինեսցենտային իմմունային վերլուծիչի համար նախատեսված  լվացող լուծույթ (օրիգինալ MINDRAY ընկերության արտադրության, տվյալ կետը դիտարկվում է սարքավորման անխափան աշխատանքի համար) Ֆորմատ. </w:t>
            </w: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>1x10 լ: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A3CB0" w14:textId="52B5CF6D" w:rsidR="00443EF0" w:rsidRPr="00BE615C" w:rsidRDefault="00443EF0" w:rsidP="00443EF0">
            <w:pPr>
              <w:widowControl w:val="0"/>
              <w:spacing w:before="0" w:after="0"/>
              <w:ind w:left="0" w:firstLine="0"/>
              <w:rPr>
                <w:rFonts w:ascii="Arial Armenian" w:eastAsia="Times New Roman" w:hAnsi="Arial Armenian" w:cs="Sylfaen"/>
                <w:b/>
                <w:sz w:val="16"/>
                <w:szCs w:val="16"/>
                <w:lang w:val="hy-AM" w:eastAsia="ru-RU"/>
              </w:rPr>
            </w:pPr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Լիովին ավտոմատ MINDRAY  CLIA 900i  քեմիլյունմինեսցենտային իմմունային վերլուծիչի համար նախատեսված  լվացող լուծույթ  Ֆորմատ. 1x10 լ:</w:t>
            </w:r>
          </w:p>
        </w:tc>
      </w:tr>
      <w:tr w:rsidR="00443EF0" w:rsidRPr="005F0580" w14:paraId="7EC62F92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71D256D9" w14:textId="720D03A8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AA5E4" w14:textId="0F9B42E8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Սուբստրատի լուծույթ Substrate Solution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AD467" w14:textId="37D99DA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լրակազմ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D32C37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407AF" w14:textId="3EA2CB0D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785E9" w14:textId="4854E232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2478" w14:textId="5B485847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8EDDA" w14:textId="2FB89312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Լիովին ավտոմատ MINDRAY  CLIA 900i  քեմիլյունմինեսցենտային իմմունային վերլուծիչի համար նախատեսված  սուբստրատի  լուծույթ (օրիգինալ MINDRAY ընկերության արտադրության, տվյալ կետը դիտարկվում է սարքավորման անխափան աշխատանքի համար) Ֆորմատ. </w:t>
            </w: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>Ոչ ավել  4x75 մլ: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9B15D" w14:textId="23E35C72" w:rsidR="00443EF0" w:rsidRPr="00490EF8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Լիովին ավտոմատ MINDRAY  CLIA 900i  քեմիլյունմինեսցենտային իմմունային վերլուծիչի համար նախատեսված  սուբստրատի  լուծույթ  Ֆորմատ.  4x75 մլ:</w:t>
            </w:r>
          </w:p>
        </w:tc>
      </w:tr>
      <w:tr w:rsidR="00443EF0" w:rsidRPr="005F0580" w14:paraId="0B0FDBD2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02539531" w14:textId="07BFDB95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F23E2" w14:textId="254895EF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Նմուշի կյուվետներ Sample cuvettes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08B73" w14:textId="77A0FC5F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BD28D0D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9F021" w14:textId="06547BD5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E1BF9" w14:textId="7B7668EF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3EE34" w14:textId="2F02F6DE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63D6C" w14:textId="2729CB5A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Լիովին ավտոմատ MINDRAY  CLIA 900i  քեմիլյունմինեսցենտային իմմունային վերլուծիչի համար նախատեսված  նմուշի կյուվետներ (օրիգինալ MINDRAY ընկերության արտադրության, տվյալ կետը դիտարկվում է սարքավորման անխափան աշխատանքի համար) Ֆորմատ. </w:t>
            </w: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>Ոչ ավել  3696  հատ: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F2DE0" w14:textId="645E3EB4" w:rsidR="00443EF0" w:rsidRPr="00102EA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Լիովին ավտոմատ MINDRAY  CLIA 900i  քեմիլյունմինեսցենտային իմմունային վերլուծիչի համար նախատեսված  նմուշի կյուվետներ Ֆորմատ.  3696  հատ:</w:t>
            </w:r>
          </w:p>
        </w:tc>
      </w:tr>
      <w:tr w:rsidR="00443EF0" w:rsidRPr="005F0580" w14:paraId="5CC5F33C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72F30E9D" w14:textId="4BBD6D03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4907F" w14:textId="3BD76CE3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Ազատ Տրիյոդթիրոնին կալիբրատոր T3 free calibrator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854E5" w14:textId="14DEBD68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լրակազմ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5CD994E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EFD15" w14:textId="721F4024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FEDDD" w14:textId="08A491B0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50BF5" w14:textId="71AB199B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87338" w14:textId="6B2BE5B1" w:rsidR="00443EF0" w:rsidRPr="006C378A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hyperlink r:id="rId15" w:history="1">
              <w:r w:rsidR="00443EF0" w:rsidRPr="006C378A">
                <w:rPr>
                  <w:rStyle w:val="Hyperlink"/>
                  <w:rFonts w:ascii="GHEA Grapalat" w:hAnsi="GHEA Grapalat" w:cs="Calibri"/>
                  <w:color w:val="000000"/>
                  <w:sz w:val="16"/>
                  <w:szCs w:val="16"/>
                  <w:lang w:val="hy-AM"/>
                </w:rPr>
                <w:t xml:space="preserve">Լիովին ավտոմատ MINDRAY  CLIA 900i  քեմիլյունմինեսցենտային իմմունային վերլուծության համակարգի  համար նախատեսված  ազատ Տրիյոդթիրոնին կալիբրատոր (օրիգինալ MINDRAY ընկերության արտադրության, տվյալ կետը դիտարկվում է սարքավորման անխափան աշխատանքի համար) </w:t>
              </w:r>
              <w:r w:rsidR="00443EF0" w:rsidRPr="006C378A">
                <w:rPr>
                  <w:rStyle w:val="Hyperlink"/>
                  <w:rFonts w:ascii="GHEA Grapalat" w:hAnsi="GHEA Grapalat" w:cs="Calibri"/>
                  <w:color w:val="000000"/>
                  <w:sz w:val="16"/>
                  <w:szCs w:val="16"/>
                  <w:lang w:val="hy-AM"/>
                </w:rPr>
                <w:lastRenderedPageBreak/>
                <w:t xml:space="preserve">Ֆորմատ. </w:t>
              </w:r>
              <w:r w:rsidR="00443EF0" w:rsidRPr="006C378A">
                <w:rPr>
                  <w:rStyle w:val="Hyperlink"/>
                  <w:rFonts w:ascii="GHEA Grapalat" w:hAnsi="GHEA Grapalat" w:cs="Calibri"/>
                  <w:color w:val="000000"/>
                  <w:sz w:val="16"/>
                  <w:szCs w:val="16"/>
                </w:rPr>
                <w:t>Ոչ ավել  6 մլ:</w:t>
              </w:r>
            </w:hyperlink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9148B" w14:textId="0E986F90" w:rsidR="00443EF0" w:rsidRPr="00102EAD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hyperlink r:id="rId16" w:history="1">
              <w:r w:rsidR="00443EF0" w:rsidRPr="009C17D8">
                <w:rPr>
                  <w:rStyle w:val="Hyperlink"/>
                  <w:rFonts w:ascii="GHEA Grapalat" w:hAnsi="GHEA Grapalat" w:cs="Calibri"/>
                  <w:color w:val="000000"/>
                  <w:sz w:val="16"/>
                  <w:szCs w:val="16"/>
                  <w:lang w:val="hy-AM"/>
                </w:rPr>
                <w:t>Լիովին ավտոմատ MINDRAY  CLIA 900i  քեմիլյունմինեսցենտային իմմունային վերլուծության համակարգի  համար նախատեսված  ազատ Տրիյոդթիրոնին կալիբրատոր Ֆորմատ. 6 մլ:</w:t>
              </w:r>
            </w:hyperlink>
          </w:p>
        </w:tc>
      </w:tr>
      <w:tr w:rsidR="00443EF0" w:rsidRPr="005F0580" w14:paraId="639C4AC2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7CFA4E5F" w14:textId="79596E7B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D9B42" w14:textId="0B20F1F1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Ազատթիրոքսինի կալիբրատոր T4 free calibrator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9F97D" w14:textId="1EF23C6C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լրակազմ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C4E0F6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7322F" w14:textId="33EC93E6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CEF71" w14:textId="2C75BFF7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AAF00" w14:textId="4C0238FF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84A85" w14:textId="3B136DC9" w:rsidR="00443EF0" w:rsidRPr="006C378A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hyperlink r:id="rId17" w:history="1">
              <w:r w:rsidR="00443EF0" w:rsidRPr="006C378A">
                <w:rPr>
                  <w:rStyle w:val="Hyperlink"/>
                  <w:rFonts w:ascii="GHEA Grapalat" w:hAnsi="GHEA Grapalat" w:cs="Calibri"/>
                  <w:color w:val="000000"/>
                  <w:sz w:val="16"/>
                  <w:szCs w:val="16"/>
                  <w:lang w:val="hy-AM"/>
                </w:rPr>
                <w:t xml:space="preserve">Լիովին ավտոմատ MINDRAY  CLIA 900i  քեմիլյունմինեսցենտային իմմունային վերլուծության համակարգի  համար նախատեսված  ազատ թիրոքսինի կալիբրատոր (օրիգինալ MINDRAY ընկերության արտադրության, տվյալ կետը դիտարկվում է սարքավորման անխափան աշխատանքի համար) Ֆորմատ. </w:t>
              </w:r>
              <w:r w:rsidR="00443EF0" w:rsidRPr="006C378A">
                <w:rPr>
                  <w:rStyle w:val="Hyperlink"/>
                  <w:rFonts w:ascii="GHEA Grapalat" w:hAnsi="GHEA Grapalat" w:cs="Calibri"/>
                  <w:color w:val="000000"/>
                  <w:sz w:val="16"/>
                  <w:szCs w:val="16"/>
                </w:rPr>
                <w:t>Ոչ ավել  6 մլ:</w:t>
              </w:r>
            </w:hyperlink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FC101" w14:textId="08FC9792" w:rsidR="00443EF0" w:rsidRPr="00102EAD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hyperlink r:id="rId18" w:history="1">
              <w:r w:rsidR="00443EF0" w:rsidRPr="009C17D8">
                <w:rPr>
                  <w:rStyle w:val="Hyperlink"/>
                  <w:rFonts w:ascii="GHEA Grapalat" w:hAnsi="GHEA Grapalat" w:cs="Calibri"/>
                  <w:color w:val="000000"/>
                  <w:sz w:val="16"/>
                  <w:szCs w:val="16"/>
                  <w:lang w:val="hy-AM"/>
                </w:rPr>
                <w:t xml:space="preserve">Լիովին ավտոմատ MINDRAY  CLIA 900i  քեմիլյունմինեսցենտային իմմունային վերլուծության համակարգի  համար նախատեսված  ազատ թիրոքսինի կալիբրատոր Ֆորմատ. </w:t>
              </w:r>
              <w:r w:rsidR="00443EF0" w:rsidRPr="009C17D8">
                <w:rPr>
                  <w:rStyle w:val="Hyperlink"/>
                  <w:rFonts w:ascii="GHEA Grapalat" w:hAnsi="GHEA Grapalat" w:cs="Calibri"/>
                  <w:color w:val="000000"/>
                  <w:sz w:val="16"/>
                  <w:szCs w:val="16"/>
                </w:rPr>
                <w:t>6 մլ:</w:t>
              </w:r>
            </w:hyperlink>
          </w:p>
        </w:tc>
      </w:tr>
      <w:tr w:rsidR="00443EF0" w:rsidRPr="005F0580" w14:paraId="113C0867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769A0109" w14:textId="00D69925" w:rsidR="00443EF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22</w:t>
            </w:r>
          </w:p>
          <w:p w14:paraId="6B17B7A6" w14:textId="19A98298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D4C00" w14:textId="1A26B25F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Թիրեոտրոպ հորմոնի կալիբրատորTSH calibrator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956AB" w14:textId="2630AD8B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լրակազմ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0CEC093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EBB2B" w14:textId="15F2AAE9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F2C87" w14:textId="3C5234F5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BEA98" w14:textId="0C515D3D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3A1DC" w14:textId="673997C1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Լիովին ավտոմատ MINDRAY  CLIA 900i  քեմիլյունմինեսցենտային իմմունային վերլուծության համակարգի  համար նախատեսված  թիրեոտրոպ հորմոնի կալիբրատոր (օրիգինալ MINDRAY ընկերության արտադրության, տվյալ կետը դիտարկվում է սարքավորման անխափան աշխատանքի համար) Ֆորմատ.  </w:t>
            </w: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>Ոչ ավել  6 մլ: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54A31" w14:textId="5D4F6E9D" w:rsidR="00443EF0" w:rsidRPr="00490EF8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Լիովին ավտոմատ MINDRAY  CLIA 900i  քեմիլյունմինեսցենտային իմմունային վերլուծության համակարգի  համար նախատեսված  թիրեոտրոպ հորմոնի կալիբրատոր Ֆորմատ. 6 մլ:</w:t>
            </w:r>
          </w:p>
        </w:tc>
      </w:tr>
      <w:tr w:rsidR="00443EF0" w:rsidRPr="002F46BB" w14:paraId="091D6380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369E3790" w14:textId="07769CF7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66447" w14:textId="5C32C5B8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Թիրեոիդ պերօքսիդազի նկատմամբ հակամարմինների կալիբրատոր Anti TPO calibrator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1F73F" w14:textId="6018D208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լրակազմ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7704AE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B440E" w14:textId="199363A5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E9373" w14:textId="38C666C2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B5C66" w14:textId="2872B565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482AE" w14:textId="6BCF02F1" w:rsidR="00443EF0" w:rsidRPr="006C378A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hyperlink r:id="rId19" w:history="1">
              <w:r w:rsidR="00443EF0" w:rsidRPr="006C378A">
                <w:rPr>
                  <w:rStyle w:val="Hyperlink"/>
                  <w:rFonts w:ascii="GHEA Grapalat" w:hAnsi="GHEA Grapalat" w:cs="Calibri"/>
                  <w:color w:val="000000"/>
                  <w:sz w:val="16"/>
                  <w:szCs w:val="16"/>
                  <w:lang w:val="hy-AM"/>
                </w:rPr>
                <w:t xml:space="preserve">Լիովին ավտոմատ MINDRAY  CLIA 900i  քեմիլյունմինեսցենտային իմմունային վերլուծության համակարգի  համար նախատեսված  Թիրեոիդ պերօքսիդազի նկատմամբ հակամարմինների  կալիբրատոր (օրիգինալ MINDRAY ընկերության արտադրության, տվյալ կետը դիտարկվում է սարքավորման անխափան աշխատանքի համար) Ֆորմատ. </w:t>
              </w:r>
              <w:r w:rsidR="00443EF0" w:rsidRPr="006C378A">
                <w:rPr>
                  <w:rStyle w:val="Hyperlink"/>
                  <w:rFonts w:ascii="GHEA Grapalat" w:hAnsi="GHEA Grapalat" w:cs="Calibri"/>
                  <w:color w:val="000000"/>
                  <w:sz w:val="16"/>
                  <w:szCs w:val="16"/>
                </w:rPr>
                <w:t>Ոչ ավել  6 մլ:</w:t>
              </w:r>
            </w:hyperlink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62DF1" w14:textId="4B536E2D" w:rsidR="00443EF0" w:rsidRPr="00BE615C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hyperlink r:id="rId20" w:history="1">
              <w:r w:rsidR="00443EF0" w:rsidRPr="009C17D8">
                <w:rPr>
                  <w:rStyle w:val="Hyperlink"/>
                  <w:rFonts w:ascii="GHEA Grapalat" w:hAnsi="GHEA Grapalat" w:cs="Calibri"/>
                  <w:color w:val="000000"/>
                  <w:sz w:val="16"/>
                  <w:szCs w:val="16"/>
                  <w:lang w:val="hy-AM"/>
                </w:rPr>
                <w:t>Լիովին ավտոմատ MINDRAY  CLIA 900i  քեմիլյունմինեսցենտային իմմունային վերլուծության համակարգի  համար նախատեսված  Թիրեոիդ պերօքսիդազի նկատմամբ հակամարմինների  կալիբրատոր  Ֆորմատ.6 մլ:</w:t>
              </w:r>
            </w:hyperlink>
          </w:p>
        </w:tc>
      </w:tr>
      <w:tr w:rsidR="00443EF0" w:rsidRPr="006C378A" w14:paraId="07D778CF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45C4AFAA" w14:textId="2E475DAD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3E447" w14:textId="52F83693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Ընդհանուրպրոստատ-սպեցիֆիկ հակածնի կալիբրատոր Total PSA calibrator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93144" w14:textId="60FD8AA8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լրակազմ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6D3BD65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58E4D" w14:textId="466270DB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10C2A" w14:textId="2E60EC75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CB28D" w14:textId="53A59B10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A9879" w14:textId="3A9783CC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Լիովին ավտոմատ MINDRAY  CLIA 900i  քեմիլյունմինեսցենտային իմմունային վերլուծության համակարգի  համար նախատեսված  ընդհանուր պրոստատ-սպեցիֆիկ հակածնի կալիբրատոր (օրիգինալ MINDRAY ընկերության արտադրության, տվյալ կետը դիտարկվում է սարքավորման անխափան աշխատանքի համար) Ֆորմատ. </w:t>
            </w: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>Ոչ ավել  6 մլ: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83E36" w14:textId="5AB698D3" w:rsidR="00443EF0" w:rsidRPr="00BE615C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Լիովին ավտոմատ MINDRAY  CLIA 900i  քեմիլյունմինեսցենտային իմմունային վերլուծության համակարգի  համար նախատեսված  ընդհանուր պրոստատ-սպեցիֆիկ հակածնի կալիբրատոր Ֆորմատ. 6 մլ:</w:t>
            </w:r>
          </w:p>
        </w:tc>
      </w:tr>
      <w:tr w:rsidR="00443EF0" w:rsidRPr="006C378A" w14:paraId="53C8D293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52692AA4" w14:textId="22ED5DA1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5C73F" w14:textId="5275445E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Վիտամին Դ-ի կալիբրատոր Vitamin D calibrator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9846B" w14:textId="5E6FC2CB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լրակազմ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29D01D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E12C" w14:textId="49905913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81966" w14:textId="575BFF06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30B50" w14:textId="133A9792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5CACF" w14:textId="049480D1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Լիովին ավտոմատ MINDRAY  CLIA 900i  քեմիլյունմինեսցենտային իմմունային վերլուծության համակարգի  համար նախատեսված  վիտամին D-ի կալիբրատոր (օրիգինալ MINDRAY ընկերության արտադրության, տվյալ կետը դիտարկվում է սարքավորման անխափան աշխատանքի համար) Ֆորմատ. </w:t>
            </w: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>Ոչ ավել  6 մլ: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263BA" w14:textId="2A11C6BF" w:rsidR="00443EF0" w:rsidRPr="00BE615C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Լիովին ավտոմատ MINDRAY  CLIA 900i  քեմիլյունմինեսցենտային իմմունային վերլուծության համակարգի  համար նախատեսված  վիտամին D-ի կալիբրատոր Ֆորմատ. 6 մլ:</w:t>
            </w:r>
          </w:p>
        </w:tc>
      </w:tr>
      <w:tr w:rsidR="00443EF0" w:rsidRPr="005F0580" w14:paraId="18964405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082C7C81" w14:textId="7CFF8BFD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11DA2" w14:textId="025F9FB4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Վիտամին  Բ12-ի կալիբրատոր Vitamin B12 calibrator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A9ABD" w14:textId="43F70A23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լրակազմ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D9F46C6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AF0C6" w14:textId="41B60DBC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3A368" w14:textId="7F535DB2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0D7EC" w14:textId="49D57EF3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85E6A" w14:textId="3E01D150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Լիովին ավտոմատ MINDRAY  CLIA 900i  քեմիլյունմինեսցենտային իմմունային վերլուծության համակարգի  համար նախատեսված  վիտամին B12-ի կալիբրատոր (օրիգինալ MINDRAY ընկերության արտադրության, տվյալ կետը դիտարկվում է սարքավորման անխափան աշխատանքի համար) Ֆորմատ. </w:t>
            </w: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>Ոչ ավել  6 մլ: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ACEA5" w14:textId="07025D0A" w:rsidR="00443EF0" w:rsidRPr="00490EF8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Լիովին ավտոմատ MINDRAY  CLIA 900i  քեմիլյունմինեսցենտային իմմունային վերլուծության համակարգի  համար նախատեսված  վիտամին B12-ի կալիբրատոր  Ֆորմատ.6 մլ:</w:t>
            </w:r>
          </w:p>
        </w:tc>
      </w:tr>
      <w:tr w:rsidR="00443EF0" w:rsidRPr="005F0580" w14:paraId="710AA7B2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6E0558E4" w14:textId="0B565454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0056F" w14:textId="7456D525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Վահանաձև գեղձի ֆունկցիայի կոնտրոլ ցածր մակարդակի Thyroid Function Multi Control L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D4EA9" w14:textId="53F13CF2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լրակազմ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7CF9357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46AD0" w14:textId="0039CB5A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2914B" w14:textId="3C3E71AC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CBB17" w14:textId="1E7411FC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26130" w14:textId="1AAD2FD5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Լիովին ավտոմատ MINDRAY  CLIA 900i  քեմիլյունմինեսցենտային իմմունային վերլուծության համակարգի  համար նախատեսված  վահանաձև գեղձի ֆունկցիայի կոնտրոլ ցածր մակարդակի (օրիգինալ MINDRAY ընկերության արտադրության, տվյալ կետը դիտարկվում է սարքավորման անխափան աշխատանքի համար) Ֆորմատ. </w:t>
            </w: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>Ոչ ավել  15 մլ: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71D44" w14:textId="00B7FF56" w:rsidR="00443EF0" w:rsidRPr="00490EF8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Լիովին ավտոմատ MINDRAY  CLIA 900i  քեմիլյունմինեսցենտային իմմունային վերլուծության համակարգի  համար նախատեսված  վահանաձև գեղձի ֆունկցիայի կոնտրոլ ցածր մակարդակի  Ֆորմատ.15 մլ:</w:t>
            </w:r>
          </w:p>
        </w:tc>
      </w:tr>
      <w:tr w:rsidR="00443EF0" w:rsidRPr="005F0580" w14:paraId="27E833A2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6BBA22AB" w14:textId="01FBE6D9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0DE86" w14:textId="0EF832DE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Վահանաձև գեղձի հակամարմիններիկոնտրոլ ցածր մակարդակի Anti-thyroid Antibodies Control Լ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5A3CF" w14:textId="03992E4A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լրակազմ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399E99C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3BBFE" w14:textId="443AFE4E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FF390" w14:textId="429B9EA3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FB18E" w14:textId="65E2C4FD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B710D" w14:textId="78FCAACC" w:rsidR="00443EF0" w:rsidRPr="006C378A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hyperlink r:id="rId21" w:history="1">
              <w:r w:rsidR="00443EF0" w:rsidRPr="006C378A">
                <w:rPr>
                  <w:rStyle w:val="Hyperlink"/>
                  <w:rFonts w:ascii="GHEA Grapalat" w:hAnsi="GHEA Grapalat" w:cs="Calibri"/>
                  <w:color w:val="000000"/>
                  <w:sz w:val="16"/>
                  <w:szCs w:val="16"/>
                  <w:lang w:val="hy-AM"/>
                </w:rPr>
                <w:t xml:space="preserve">Լիովին ավտոմատ MINDRAY  CLIA 900i  քեմիլյունմինեսցենտային իմմունային վերլուծության համակարգի  համար նախատեսված   վահանաձև գեղձի հակամարմինների  կոնտրոլ ցածր մակարդակի (օրիգինալ MINDRAY ընկերության արտադրության, տվյալ կետը դիտարկվում է սարքավորման անխափան աշխատանքի համար) Ֆորմատ. </w:t>
              </w:r>
              <w:r w:rsidR="00443EF0" w:rsidRPr="006C378A">
                <w:rPr>
                  <w:rStyle w:val="Hyperlink"/>
                  <w:rFonts w:ascii="GHEA Grapalat" w:hAnsi="GHEA Grapalat" w:cs="Calibri"/>
                  <w:color w:val="000000"/>
                  <w:sz w:val="16"/>
                  <w:szCs w:val="16"/>
                </w:rPr>
                <w:t>Ոչ ավել  15 մլ::</w:t>
              </w:r>
            </w:hyperlink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CB8BE" w14:textId="2DCB2A49" w:rsidR="00443EF0" w:rsidRPr="00490EF8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hyperlink r:id="rId22" w:history="1">
              <w:r w:rsidR="00443EF0" w:rsidRPr="009C17D8">
                <w:rPr>
                  <w:rStyle w:val="Hyperlink"/>
                  <w:rFonts w:ascii="GHEA Grapalat" w:hAnsi="GHEA Grapalat" w:cs="Calibri"/>
                  <w:color w:val="000000"/>
                  <w:sz w:val="16"/>
                  <w:szCs w:val="16"/>
                  <w:lang w:val="hy-AM"/>
                </w:rPr>
                <w:t>Լիովին ավտոմատ MINDRAY  CLIA 900i  քեմիլյունմինեսցենտային իմմունային վերլուծության համակարգի  համար նախատեսված   վահանաձև գեղձի հակամարմինների  կոնտրոլ ցածր մակարդակի  Ֆորմատ.15 մլ::</w:t>
              </w:r>
            </w:hyperlink>
          </w:p>
        </w:tc>
      </w:tr>
      <w:tr w:rsidR="00443EF0" w:rsidRPr="005F0580" w14:paraId="743C5432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121182D4" w14:textId="51ADDEE8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4C29A" w14:textId="1B49812F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Քաղցկեղային մարկերի կոնտրոլ ցածր մակարդակի Tumor Marker Multi Control Լ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A61A4" w14:textId="6C26A58B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լրակազմ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C0A64C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883A8" w14:textId="263AE289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F99E6" w14:textId="6721B42C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FEC89" w14:textId="47AC12F3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237C2" w14:textId="4C7A0102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Լիովին ավտոմատ MINDRAY  CLIA 900i  քեմիլյունմինեսցենտային իմմունային վերլուծության համակարգի  համար նախատեսված  քաղցկեղային մարկերի  կոնտրոլ ցածր մակարդակի (օրիգինալ MINDRAY ընկերության արտադրության, տվյալ կետը դիտարկվում է սարքավորման անխափան աշխատանքի համար) Ֆորմատ. </w:t>
            </w: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>Ոչ ավել  15 մլ::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1EE36" w14:textId="6621F428" w:rsidR="00443EF0" w:rsidRPr="00490EF8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Լիովին ավտոմատ MINDRAY  CLIA 900i  քեմիլյունմինեսցենտային իմմունային վերլուծության համակարգի  համար նախատեսված  քաղցկեղային մարկերի  կոնտրոլ ցածր մակարդակի Ֆորմատ.15 մլ::</w:t>
            </w:r>
          </w:p>
        </w:tc>
      </w:tr>
      <w:tr w:rsidR="00443EF0" w:rsidRPr="005F0580" w14:paraId="2DE933EB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4977066A" w14:textId="31209E0F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DDAE9" w14:textId="530478E6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Մետաբոլիկ մուլտի կոնտրոլ Լ /Metabolic Multi Control L/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404A5" w14:textId="50E2419E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լրակազմ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330C47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ACD92" w14:textId="3C116EB9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D2259" w14:textId="1309D77A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B6EAC" w14:textId="2F5FC37A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19B1F" w14:textId="3FB087E0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C378A">
              <w:rPr>
                <w:rFonts w:ascii="GHEA Grapalat" w:hAnsi="GHEA Grapalat" w:cs="Calibri"/>
                <w:color w:val="FF0000"/>
                <w:sz w:val="16"/>
                <w:szCs w:val="16"/>
                <w:lang w:val="hy-AM"/>
              </w:rPr>
              <w:t xml:space="preserve">Լիովին ավտոմատ MINDRAY CLIA 900i </w:t>
            </w: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քեմիլյունմինեսցենտային իմմունային վերլուծության համակարգի համար նախատեված մետաբոլիկ կոնտրոլ ցա ծր մակարդակի /օրիգինալ MINDRAY  ընկերության արտադրության, տվյալ կետը դիտարկվում է  սարքավորման անխափան աշխատանքի համար/ Ֆորմատ. </w:t>
            </w: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</w:rPr>
              <w:t>Ոչ ավել 15մլ: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8B7A0" w14:textId="3FA08C5E" w:rsidR="00443EF0" w:rsidRPr="00490EF8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876A2">
              <w:rPr>
                <w:rFonts w:ascii="GHEA Grapalat" w:hAnsi="GHEA Grapalat" w:cs="Calibri"/>
                <w:color w:val="FF0000"/>
                <w:sz w:val="16"/>
                <w:szCs w:val="16"/>
                <w:lang w:val="hy-AM"/>
              </w:rPr>
              <w:t xml:space="preserve">Լիովին ավտոմատ MINDRAY CLIA 900i </w:t>
            </w:r>
            <w:r w:rsidRPr="005876A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քեմիլյունմինեսցենտային իմմունային վերլուծության համակարգի համար նախատեված մետաբոլիկ կոնտրոլ ցա ծր մակարդակի  Ֆորմատ. </w:t>
            </w:r>
            <w:r w:rsidRPr="009C17D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15մլ:</w:t>
            </w:r>
          </w:p>
        </w:tc>
      </w:tr>
      <w:tr w:rsidR="00443EF0" w:rsidRPr="005F0580" w14:paraId="56FB1839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66797A16" w14:textId="34E57E91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D9547" w14:textId="04109D81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Էփշտեյն Բարրի վիրուսի հանդեպ M/G հակամարմինների որոշման իմունոքրամոտագրաֆին կասսետներ 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4A53B" w14:textId="7D6E999E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թեստ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4237325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51A72" w14:textId="03D1779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4769D" w14:textId="7B9C0E7A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7076D" w14:textId="07DAF8F0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4C8C1" w14:textId="6BA8FE34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Էփշտեյն Բարրի վիրուսի հանդեպ M/G հակամարմինների որոշման իմունոքրամոտագրաֆին կասսետներ 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64AAA" w14:textId="1B7BEED9" w:rsidR="00443EF0" w:rsidRPr="00490EF8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43EF0" w:rsidRPr="005F0580" w14:paraId="73D3E41A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79DD32F2" w14:textId="0F997A3E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871DD" w14:textId="51596BD3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Քսիոլ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5002F" w14:textId="4DEFDDCF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54B6D5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6E637" w14:textId="15E5A12B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AA7D8" w14:textId="2CE45023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5D778" w14:textId="768CCBF4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7F3CE" w14:textId="537A2889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C378A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Հատուկ</w:t>
            </w:r>
            <w:r w:rsidRPr="006C378A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6C378A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մաքրության</w:t>
            </w:r>
            <w:r w:rsidRPr="006C378A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6C378A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հյուսվածքաբանական</w:t>
            </w:r>
            <w:r w:rsidRPr="006C378A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6C378A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կարգի</w:t>
            </w:r>
            <w:r w:rsidRPr="006C378A">
              <w:rPr>
                <w:color w:val="000000"/>
                <w:sz w:val="16"/>
                <w:szCs w:val="16"/>
                <w:lang w:val="hy-AM"/>
              </w:rPr>
              <w:t xml:space="preserve">  </w:t>
            </w:r>
            <w:r w:rsidRPr="006C378A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քսիլոլ</w:t>
            </w:r>
            <w:r w:rsidRPr="006C378A">
              <w:rPr>
                <w:color w:val="000000"/>
                <w:sz w:val="16"/>
                <w:szCs w:val="16"/>
                <w:lang w:val="hy-AM"/>
              </w:rPr>
              <w:t xml:space="preserve">: </w:t>
            </w:r>
            <w:r w:rsidRPr="006C378A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Ֆորմատ</w:t>
            </w:r>
            <w:r w:rsidRPr="006C378A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6C378A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լիտր</w:t>
            </w:r>
            <w:r w:rsidRPr="006C378A">
              <w:rPr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0FE2C" w14:textId="247EE785" w:rsidR="00443EF0" w:rsidRPr="00443EF0" w:rsidRDefault="00443EF0" w:rsidP="00443EF0">
            <w:pPr>
              <w:widowControl w:val="0"/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 w:rsidRPr="00443EF0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Հատուկ մաքրության հյուսվածքաբանական կարգի  քսիլոլ: Ֆորմատ լիտր:</w:t>
            </w:r>
          </w:p>
        </w:tc>
      </w:tr>
      <w:tr w:rsidR="00443EF0" w:rsidRPr="005F0580" w14:paraId="260A52F0" w14:textId="77777777" w:rsidTr="00443EF0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14:paraId="22E2BF0B" w14:textId="4B0BB944" w:rsidR="00443EF0" w:rsidRPr="00AB3A40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DDBD" w14:textId="4E5676E8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Սոսինձ 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28635" w14:textId="44C264CF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D33847B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E4BBC" w14:textId="2564A2C6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378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C3819" w14:textId="4DE32542" w:rsidR="00443EF0" w:rsidRPr="006C378A" w:rsidRDefault="00443EF0" w:rsidP="00443EF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0F7E3" w14:textId="12793565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2B361" w14:textId="7F1E6031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C378A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250</w:t>
            </w:r>
            <w:r w:rsidRPr="006C378A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մլ</w:t>
            </w:r>
            <w:r w:rsidRPr="006C378A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6C378A">
              <w:rPr>
                <w:rFonts w:cs="Calibri"/>
                <w:color w:val="000000"/>
                <w:sz w:val="16"/>
                <w:szCs w:val="16"/>
                <w:lang w:val="hy-AM"/>
              </w:rPr>
              <w:t>В</w:t>
            </w:r>
            <w:r w:rsidRPr="006C378A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tomount DPX40W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86A15" w14:textId="33849EA0" w:rsidR="00443EF0" w:rsidRPr="00443EF0" w:rsidRDefault="00443EF0" w:rsidP="00443EF0">
            <w:pPr>
              <w:widowControl w:val="0"/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 w:rsidRPr="00443EF0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250մլ, Вtomount DPX40W</w:t>
            </w:r>
          </w:p>
        </w:tc>
      </w:tr>
      <w:tr w:rsidR="00443EF0" w:rsidRPr="006C378A" w14:paraId="043C12D9" w14:textId="77777777" w:rsidTr="00014D3F">
        <w:trPr>
          <w:trHeight w:val="169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67D8D3A3" w14:textId="77777777" w:rsidR="00443EF0" w:rsidRPr="00BE615C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43EF0" w:rsidRPr="002F46BB" w14:paraId="6E3BA56E" w14:textId="77777777" w:rsidTr="006C378A">
        <w:trPr>
          <w:trHeight w:val="137"/>
        </w:trPr>
        <w:tc>
          <w:tcPr>
            <w:tcW w:w="43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BC143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C37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6C37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6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1E42E" w14:textId="501E6DB9" w:rsidR="00443EF0" w:rsidRPr="006C378A" w:rsidRDefault="00443EF0" w:rsidP="002F46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C37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ԳՄՕ-ի 22-րդ հոդվածի 1) կետի՝ գնումը կարող է կատարվել գնանշման հարցման ձևով, եթե գնման գինը չի գերազանցում գնումների բազային միավորի յոթանասունապատիկը, և գնման առարկան ունի պարբերական օգտագործման բնույթ: Ուստի գնման ընթացակարգը կազմակերպվել է գնանշման հարցման ձևով, Օրենքի 1</w:t>
            </w:r>
            <w:r w:rsidR="002F4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6C37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-րդ հոդվածի </w:t>
            </w:r>
            <w:r w:rsidR="002F4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6C37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-րդ մասի հիման վրա; </w:t>
            </w:r>
          </w:p>
        </w:tc>
      </w:tr>
      <w:tr w:rsidR="00443EF0" w:rsidRPr="002F46BB" w14:paraId="034FF32F" w14:textId="77777777" w:rsidTr="00014D3F">
        <w:trPr>
          <w:trHeight w:val="196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1465C4F" w14:textId="77777777" w:rsidR="00443EF0" w:rsidRPr="006C378A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43EF0" w:rsidRPr="0022631D" w14:paraId="5FF3CF83" w14:textId="77777777" w:rsidTr="006C37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4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0F332" w14:textId="77777777" w:rsidR="00443EF0" w:rsidRPr="0022631D" w:rsidRDefault="00443EF0" w:rsidP="00443E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C37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C37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66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9EE8F14" w14:textId="352121E0" w:rsidR="00443EF0" w:rsidRPr="003658FF" w:rsidRDefault="00443EF0" w:rsidP="00443E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02.02.2026</w:t>
            </w:r>
          </w:p>
        </w:tc>
      </w:tr>
      <w:tr w:rsidR="00443EF0" w:rsidRPr="0022631D" w14:paraId="15993D22" w14:textId="77777777" w:rsidTr="006C37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5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CC3A3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9FF09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9C64D" w14:textId="531D606C" w:rsidR="00443EF0" w:rsidRPr="0022631D" w:rsidRDefault="00443EF0" w:rsidP="00443E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43EF0" w:rsidRPr="0022631D" w14:paraId="6F0297AA" w14:textId="77777777" w:rsidTr="006C37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5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B0DEE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22F5D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FDCB3" w14:textId="77777777" w:rsidR="00443EF0" w:rsidRPr="0022631D" w:rsidRDefault="00443EF0" w:rsidP="00443E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43EF0" w:rsidRPr="0022631D" w14:paraId="501EF46E" w14:textId="77777777" w:rsidTr="006C37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5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15064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5DB13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2646F" w14:textId="77777777" w:rsidR="00443EF0" w:rsidRPr="0022631D" w:rsidRDefault="00443EF0" w:rsidP="00443E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3CBD2" w14:textId="77777777" w:rsidR="00443EF0" w:rsidRPr="0022631D" w:rsidRDefault="00443EF0" w:rsidP="00443E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443EF0" w:rsidRPr="0022631D" w14:paraId="0F22F364" w14:textId="77777777" w:rsidTr="006C37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5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40231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4F0AA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15B95" w14:textId="2908E51B" w:rsidR="00443EF0" w:rsidRPr="0022631D" w:rsidRDefault="00443EF0" w:rsidP="00443E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35B50" w14:textId="5549F66D" w:rsidR="00443EF0" w:rsidRPr="0022631D" w:rsidRDefault="00443EF0" w:rsidP="00443E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43EF0" w:rsidRPr="0022631D" w14:paraId="5A0A5263" w14:textId="77777777" w:rsidTr="006C37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5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00963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4EE70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BFF7F" w14:textId="77777777" w:rsidR="00443EF0" w:rsidRPr="0022631D" w:rsidRDefault="00443EF0" w:rsidP="00443E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5AFEA" w14:textId="77777777" w:rsidR="00443EF0" w:rsidRPr="0022631D" w:rsidRDefault="00443EF0" w:rsidP="00443E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43EF0" w:rsidRPr="0022631D" w14:paraId="1159A8AC" w14:textId="77777777" w:rsidTr="00014D3F">
        <w:trPr>
          <w:trHeight w:val="54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59078A83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43EF0" w:rsidRPr="0022631D" w14:paraId="6FD348D9" w14:textId="77777777" w:rsidTr="006C378A">
        <w:trPr>
          <w:trHeight w:val="605"/>
        </w:trPr>
        <w:tc>
          <w:tcPr>
            <w:tcW w:w="1473" w:type="dxa"/>
            <w:gridSpan w:val="4"/>
            <w:vMerge w:val="restart"/>
            <w:shd w:val="clear" w:color="auto" w:fill="auto"/>
            <w:vAlign w:val="center"/>
          </w:tcPr>
          <w:p w14:paraId="37A8833C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32" w:type="dxa"/>
            <w:gridSpan w:val="5"/>
            <w:vMerge w:val="restart"/>
            <w:shd w:val="clear" w:color="auto" w:fill="auto"/>
            <w:vAlign w:val="center"/>
          </w:tcPr>
          <w:p w14:paraId="56BF69D7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07" w:type="dxa"/>
            <w:gridSpan w:val="18"/>
            <w:shd w:val="clear" w:color="auto" w:fill="auto"/>
            <w:vAlign w:val="center"/>
          </w:tcPr>
          <w:p w14:paraId="084C3D2B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43EF0" w:rsidRPr="0022631D" w14:paraId="1E3A6DE1" w14:textId="77777777" w:rsidTr="006C378A">
        <w:trPr>
          <w:trHeight w:val="365"/>
        </w:trPr>
        <w:tc>
          <w:tcPr>
            <w:tcW w:w="1473" w:type="dxa"/>
            <w:gridSpan w:val="4"/>
            <w:vMerge/>
            <w:shd w:val="clear" w:color="auto" w:fill="auto"/>
            <w:vAlign w:val="center"/>
          </w:tcPr>
          <w:p w14:paraId="179EAFCF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2" w:type="dxa"/>
            <w:gridSpan w:val="5"/>
            <w:vMerge/>
            <w:shd w:val="clear" w:color="auto" w:fill="auto"/>
            <w:vAlign w:val="center"/>
          </w:tcPr>
          <w:p w14:paraId="3DCB5F28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3E0E5BE5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47E83C47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335D52B3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43EF0" w:rsidRPr="0022631D" w14:paraId="6F63659A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429603D7" w14:textId="4410CC09" w:rsidR="00443EF0" w:rsidRPr="00260235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101E244D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43EF0" w:rsidRPr="00187266" w14:paraId="1253A5B2" w14:textId="77777777" w:rsidTr="006C378A">
        <w:trPr>
          <w:trHeight w:val="277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533DB7A9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01BBABD6" w14:textId="533B1CCA" w:rsidR="00443EF0" w:rsidRPr="00C0725F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17BBD144" w14:textId="3A642275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900000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1B57CABD" w14:textId="2E8AAA96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180000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12098583" w14:textId="18BF0C4B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1080000</w:t>
            </w:r>
          </w:p>
        </w:tc>
      </w:tr>
      <w:tr w:rsidR="00443EF0" w:rsidRPr="0022631D" w14:paraId="271230EC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2E084C7F" w14:textId="18D0DD3D" w:rsidR="00443EF0" w:rsidRPr="002452F9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0F6B6BC5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43EF0" w:rsidRPr="00C0725F" w14:paraId="140CD4E1" w14:textId="77777777" w:rsidTr="006C378A">
        <w:trPr>
          <w:trHeight w:val="305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7FEB84BA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094FE037" w14:textId="001CE66C" w:rsidR="00443EF0" w:rsidRPr="00C0725F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58594F35" w14:textId="74475DE1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675000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75408B0D" w14:textId="70E96943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135000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48237A04" w14:textId="4578182A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810000</w:t>
            </w:r>
          </w:p>
        </w:tc>
      </w:tr>
      <w:tr w:rsidR="00443EF0" w:rsidRPr="0022631D" w14:paraId="1C6AF061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2B6A3190" w14:textId="3CB90AFE" w:rsidR="00443EF0" w:rsidRPr="002452F9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23FC2D84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43EF0" w:rsidRPr="00C0725F" w14:paraId="193D209A" w14:textId="77777777" w:rsidTr="006C378A">
        <w:trPr>
          <w:trHeight w:val="305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4D948165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5534D675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67142D61" w14:textId="2B43E198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330000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0C1DCB24" w14:textId="663251FE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66000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6E06E2F1" w14:textId="33806BF2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396000</w:t>
            </w:r>
          </w:p>
        </w:tc>
      </w:tr>
      <w:tr w:rsidR="00443EF0" w:rsidRPr="0022631D" w14:paraId="09711F80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591880E5" w14:textId="4C1F18E3" w:rsidR="00443EF0" w:rsidRPr="002452F9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1C15BFF0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43EF0" w:rsidRPr="00C0725F" w14:paraId="7194229B" w14:textId="77777777" w:rsidTr="006C378A">
        <w:trPr>
          <w:trHeight w:val="305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53D225A6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3FFB3B54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241FE02E" w14:textId="60B9E141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840000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75E8164E" w14:textId="5603593F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168000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63ACA71E" w14:textId="5983AF89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1008000</w:t>
            </w:r>
          </w:p>
        </w:tc>
      </w:tr>
      <w:tr w:rsidR="00443EF0" w:rsidRPr="0022631D" w14:paraId="709AC992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5B00860C" w14:textId="10C4E50E" w:rsidR="00443EF0" w:rsidRPr="002452F9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3E23705F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43EF0" w:rsidRPr="00C0725F" w14:paraId="6744F53F" w14:textId="77777777" w:rsidTr="006C378A">
        <w:trPr>
          <w:trHeight w:val="305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7D33D6CE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48C484E9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362BC406" w14:textId="2BF1F8F5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1170000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480BEACD" w14:textId="7CE88ED7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234000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0C3BA566" w14:textId="00BCC505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1404000</w:t>
            </w:r>
          </w:p>
        </w:tc>
      </w:tr>
      <w:tr w:rsidR="00443EF0" w:rsidRPr="0022631D" w14:paraId="2EE46425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5B815EC2" w14:textId="0578E338" w:rsidR="00443EF0" w:rsidRPr="002452F9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0D1D0F66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43EF0" w:rsidRPr="00C0725F" w14:paraId="1816550D" w14:textId="77777777" w:rsidTr="006C378A">
        <w:trPr>
          <w:trHeight w:val="305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0AE299BD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3230A747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0F8E0A70" w14:textId="64DF0E7B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225000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573334A4" w14:textId="5C3B7154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45000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62775C21" w14:textId="6F77975A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270000</w:t>
            </w:r>
          </w:p>
        </w:tc>
      </w:tr>
      <w:tr w:rsidR="00443EF0" w:rsidRPr="0022631D" w14:paraId="243821D2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2BC99F40" w14:textId="7CFD11BB" w:rsidR="00443EF0" w:rsidRPr="002452F9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70EF37AF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43EF0" w:rsidRPr="00C0725F" w14:paraId="4CDF7E7D" w14:textId="77777777" w:rsidTr="006C378A">
        <w:trPr>
          <w:trHeight w:val="305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187648D6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0CD50187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62A84BF7" w14:textId="59F650DA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110000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6D773E36" w14:textId="5988B075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22000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129A84A6" w14:textId="6BE65C9B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132000</w:t>
            </w:r>
          </w:p>
        </w:tc>
      </w:tr>
      <w:tr w:rsidR="00443EF0" w:rsidRPr="0022631D" w14:paraId="6D8DA7F8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09AE053A" w14:textId="2C89C72A" w:rsidR="00443EF0" w:rsidRPr="002452F9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740B38C4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43EF0" w:rsidRPr="00C0725F" w14:paraId="74575310" w14:textId="77777777" w:rsidTr="006C378A">
        <w:trPr>
          <w:trHeight w:val="305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6E71BD2B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1C730000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02D3D0B4" w14:textId="7F7B99EB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36000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12FA2E8F" w14:textId="43CCD710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7200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22D8DB07" w14:textId="2463630C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43200</w:t>
            </w:r>
          </w:p>
        </w:tc>
      </w:tr>
      <w:tr w:rsidR="00443EF0" w:rsidRPr="0022631D" w14:paraId="60D599A5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551A7D81" w14:textId="74664466" w:rsidR="00443EF0" w:rsidRPr="002452F9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744D9EE4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43EF0" w:rsidRPr="00C0725F" w14:paraId="2FAA93E7" w14:textId="77777777" w:rsidTr="006C378A">
        <w:trPr>
          <w:trHeight w:val="305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7D7442DA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7035A552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55142C01" w14:textId="13DB7BDC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135000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01E90DE4" w14:textId="662B58BF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27000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64C68A0A" w14:textId="27F88F93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162000</w:t>
            </w:r>
          </w:p>
        </w:tc>
      </w:tr>
      <w:tr w:rsidR="00443EF0" w:rsidRPr="0022631D" w14:paraId="57524B7F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3DF8CF79" w14:textId="177B16EE" w:rsidR="00443EF0" w:rsidRPr="002452F9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0D3C2489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43EF0" w:rsidRPr="00C0725F" w14:paraId="457D2154" w14:textId="77777777" w:rsidTr="006C378A">
        <w:trPr>
          <w:trHeight w:val="305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0B273C07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7B3699CD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78B755B0" w14:textId="05A8BB5E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240000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2C5F49D5" w14:textId="3528CB22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48000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5EA044D2" w14:textId="7905A3DA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288000</w:t>
            </w:r>
          </w:p>
        </w:tc>
      </w:tr>
      <w:tr w:rsidR="00443EF0" w:rsidRPr="0022631D" w14:paraId="24D0DBDA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6C7462B6" w14:textId="4943A428" w:rsidR="00443EF0" w:rsidRPr="002452F9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47FBE018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43EF0" w:rsidRPr="00C0725F" w14:paraId="68F02BA3" w14:textId="77777777" w:rsidTr="006C378A">
        <w:trPr>
          <w:trHeight w:val="305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7B8EF995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3709BC98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0B94E99D" w14:textId="686BCD7E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95000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6AD2F011" w14:textId="0AB738D0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19000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3950B9AE" w14:textId="320B3577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114000</w:t>
            </w:r>
          </w:p>
        </w:tc>
      </w:tr>
      <w:tr w:rsidR="00443EF0" w:rsidRPr="0022631D" w14:paraId="505727CF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60C70DD7" w14:textId="515240A3" w:rsidR="00443EF0" w:rsidRPr="002452F9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4F6AD416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43EF0" w:rsidRPr="00C0725F" w14:paraId="54852606" w14:textId="77777777" w:rsidTr="006C378A">
        <w:trPr>
          <w:trHeight w:val="305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3A9F058B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01A47B11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1E11FF4A" w14:textId="730EEF05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190000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337B71A2" w14:textId="1EF47606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38000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21C3183A" w14:textId="23608A8A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228000</w:t>
            </w:r>
          </w:p>
        </w:tc>
      </w:tr>
      <w:tr w:rsidR="00443EF0" w:rsidRPr="0022631D" w14:paraId="73AF3BEB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1310982D" w14:textId="2B1C32AE" w:rsidR="00443EF0" w:rsidRPr="002452F9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15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7EAAA600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43EF0" w:rsidRPr="00C0725F" w14:paraId="77BFDFE9" w14:textId="77777777" w:rsidTr="006C378A">
        <w:trPr>
          <w:trHeight w:val="305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249A9232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58E74A53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3C1B3AE7" w14:textId="49AF991D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1300000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7BAF8735" w14:textId="7091C439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260000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17E2ED8C" w14:textId="2321C4FB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1560000</w:t>
            </w:r>
          </w:p>
        </w:tc>
      </w:tr>
      <w:tr w:rsidR="00443EF0" w:rsidRPr="0022631D" w14:paraId="0E55D288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16FDD57F" w14:textId="65967F2B" w:rsidR="00443EF0" w:rsidRPr="002452F9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16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22F439B0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43EF0" w:rsidRPr="00C0725F" w14:paraId="440D0F73" w14:textId="77777777" w:rsidTr="006C378A">
        <w:trPr>
          <w:trHeight w:val="305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0D7A6AB9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2C5D0157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0709410C" w14:textId="618E97D7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150000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0911260E" w14:textId="3663F7F6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30000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71ED9F81" w14:textId="342C5E93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180000</w:t>
            </w:r>
          </w:p>
        </w:tc>
      </w:tr>
      <w:tr w:rsidR="00443EF0" w:rsidRPr="0022631D" w14:paraId="0BF6F49E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441684B8" w14:textId="1005C864" w:rsidR="00443EF0" w:rsidRPr="002452F9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17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2EEE6DCC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43EF0" w:rsidRPr="00C0725F" w14:paraId="718B524E" w14:textId="77777777" w:rsidTr="006C378A">
        <w:trPr>
          <w:trHeight w:val="305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1C130C25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21C5AA81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372AE025" w14:textId="25350ED0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195000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02E5B7A6" w14:textId="7F85FA21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39000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41C3045E" w14:textId="51D9C982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234000</w:t>
            </w:r>
          </w:p>
        </w:tc>
      </w:tr>
      <w:tr w:rsidR="00443EF0" w:rsidRPr="0022631D" w14:paraId="6DA4C3FE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08E1681C" w14:textId="05A19CE1" w:rsidR="00443EF0" w:rsidRPr="002452F9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18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4A63B1B2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43EF0" w:rsidRPr="00C0725F" w14:paraId="7BA5D71B" w14:textId="77777777" w:rsidTr="006C378A">
        <w:trPr>
          <w:trHeight w:val="305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64FFC84E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43B43ADE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74432B04" w14:textId="2B147471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210000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4FD62686" w14:textId="4AC3E253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42000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6590B613" w14:textId="57CE6ABC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252000</w:t>
            </w:r>
          </w:p>
        </w:tc>
      </w:tr>
      <w:tr w:rsidR="00443EF0" w:rsidRPr="0022631D" w14:paraId="5872406A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243A2FB4" w14:textId="1543E342" w:rsidR="00443EF0" w:rsidRPr="002452F9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19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6744E0D5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43EF0" w:rsidRPr="00C0725F" w14:paraId="09BAA2C9" w14:textId="77777777" w:rsidTr="006C378A">
        <w:trPr>
          <w:trHeight w:val="305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321E1812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478E4427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37D96F4D" w14:textId="24E18D4F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225000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2B8F9C5D" w14:textId="7BF6CF76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45000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3F6E68E3" w14:textId="4681D1CF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270000</w:t>
            </w:r>
          </w:p>
        </w:tc>
      </w:tr>
      <w:tr w:rsidR="00443EF0" w:rsidRPr="0022631D" w14:paraId="7806B197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5803B616" w14:textId="690256B5" w:rsidR="00443EF0" w:rsidRPr="002452F9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216D4542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43EF0" w:rsidRPr="00C0725F" w14:paraId="460C2233" w14:textId="77777777" w:rsidTr="006C378A">
        <w:trPr>
          <w:trHeight w:val="305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33D7EC09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7D86EA9C" w14:textId="77777777" w:rsidR="00443EF0" w:rsidRPr="00C0725F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3BE35E9B" w14:textId="7D5ADA6C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1CB12492" w14:textId="217A547A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6000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52D4BAB9" w14:textId="6D078DE1" w:rsidR="00443EF0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36000</w:t>
            </w:r>
          </w:p>
        </w:tc>
      </w:tr>
      <w:tr w:rsidR="00443EF0" w:rsidRPr="0022631D" w14:paraId="4CEB6D21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5A88D3F2" w14:textId="4CFCEFD2" w:rsidR="00443EF0" w:rsidRPr="002452F9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21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4E37C773" w14:textId="77777777" w:rsidR="00443EF0" w:rsidRPr="0022631D" w:rsidRDefault="00443EF0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F46BB" w:rsidRPr="00C0725F" w14:paraId="51F4F136" w14:textId="77777777" w:rsidTr="006C378A">
        <w:trPr>
          <w:trHeight w:val="305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7EC66978" w14:textId="77777777" w:rsidR="002F46BB" w:rsidRPr="00C0725F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1CC922AC" w14:textId="77777777" w:rsidR="002F46BB" w:rsidRPr="00C0725F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6B43E08C" w14:textId="15C8AD80" w:rsidR="002F46BB" w:rsidRPr="002452F9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260A4050" w14:textId="4EB4D281" w:rsidR="002F46BB" w:rsidRPr="002452F9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6000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725214CD" w14:textId="09FC71E3" w:rsidR="002F46BB" w:rsidRPr="002452F9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36000</w:t>
            </w:r>
          </w:p>
        </w:tc>
      </w:tr>
      <w:tr w:rsidR="002F46BB" w:rsidRPr="0022631D" w14:paraId="17E537BD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3CD67E75" w14:textId="748FFAB3" w:rsidR="002F46BB" w:rsidRPr="002452F9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22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0BBE202E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F46BB" w:rsidRPr="00C0725F" w14:paraId="4D500401" w14:textId="77777777" w:rsidTr="006C378A">
        <w:trPr>
          <w:trHeight w:val="305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4F981BE2" w14:textId="77777777" w:rsidR="002F46BB" w:rsidRPr="00C0725F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19729F38" w14:textId="77777777" w:rsidR="002F46BB" w:rsidRPr="00C0725F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5D52F352" w14:textId="6021DABD" w:rsidR="002F46BB" w:rsidRPr="002452F9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524D71AC" w14:textId="0DD16C84" w:rsidR="002F46BB" w:rsidRPr="002452F9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6000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000EA802" w14:textId="363CADFD" w:rsidR="002F46BB" w:rsidRPr="002452F9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36000</w:t>
            </w:r>
          </w:p>
        </w:tc>
      </w:tr>
      <w:tr w:rsidR="002F46BB" w:rsidRPr="0022631D" w14:paraId="5B5BA1B9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11B68BCF" w14:textId="52919724" w:rsidR="002F46BB" w:rsidRPr="002452F9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23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231E4577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F46BB" w:rsidRPr="00C0725F" w14:paraId="7BA3D556" w14:textId="77777777" w:rsidTr="006C378A">
        <w:trPr>
          <w:trHeight w:val="305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65581896" w14:textId="77777777" w:rsidR="002F46BB" w:rsidRPr="00C0725F" w:rsidRDefault="002F46BB" w:rsidP="00F426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7FB41F49" w14:textId="3FA84109" w:rsidR="002F46BB" w:rsidRPr="00C0725F" w:rsidRDefault="002F46BB" w:rsidP="00F426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3C2129D5" w14:textId="50EB98ED" w:rsidR="002F46BB" w:rsidRPr="002F46BB" w:rsidRDefault="002F46BB" w:rsidP="00F426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5F4EA306" w14:textId="7956AA04" w:rsidR="002F46BB" w:rsidRPr="002F46BB" w:rsidRDefault="002F46BB" w:rsidP="00F426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8000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66D1046E" w14:textId="0CC54734" w:rsidR="002F46BB" w:rsidRPr="002F46BB" w:rsidRDefault="002F46BB" w:rsidP="00F426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48000</w:t>
            </w:r>
          </w:p>
        </w:tc>
      </w:tr>
      <w:tr w:rsidR="002F46BB" w:rsidRPr="0022631D" w14:paraId="7E47D7B2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35D8F729" w14:textId="3F0499D0" w:rsidR="002F46BB" w:rsidRPr="002452F9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24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5F8EA474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F46BB" w:rsidRPr="00C0725F" w14:paraId="77364EE7" w14:textId="77777777" w:rsidTr="006C378A">
        <w:trPr>
          <w:trHeight w:val="305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252AB489" w14:textId="77777777" w:rsidR="002F46BB" w:rsidRPr="00C0725F" w:rsidRDefault="002F46BB" w:rsidP="00F426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725CC2C2" w14:textId="330B6C9B" w:rsidR="002F46BB" w:rsidRPr="00C0725F" w:rsidRDefault="002F46BB" w:rsidP="00F426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6BA88841" w14:textId="0749512A" w:rsidR="002F46BB" w:rsidRPr="002F46BB" w:rsidRDefault="002F46BB" w:rsidP="00F426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48000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3B802883" w14:textId="22BB5F5F" w:rsidR="002F46BB" w:rsidRPr="002F46BB" w:rsidRDefault="002F46BB" w:rsidP="00F426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9600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3E9F1004" w14:textId="09469250" w:rsidR="002F46BB" w:rsidRPr="002F46BB" w:rsidRDefault="002F46BB" w:rsidP="00F426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57600</w:t>
            </w:r>
          </w:p>
        </w:tc>
      </w:tr>
      <w:tr w:rsidR="002F46BB" w:rsidRPr="0022631D" w14:paraId="1C1F2563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2E8D947C" w14:textId="25140E72" w:rsidR="002F46BB" w:rsidRPr="002452F9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25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08861D4F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F46BB" w:rsidRPr="00C0725F" w14:paraId="5183DD2C" w14:textId="77777777" w:rsidTr="006C378A">
        <w:trPr>
          <w:trHeight w:val="305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71E9F797" w14:textId="77777777" w:rsidR="002F46BB" w:rsidRPr="00C0725F" w:rsidRDefault="002F46BB" w:rsidP="00F426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37CC57A3" w14:textId="74CD3F49" w:rsidR="002F46BB" w:rsidRPr="00C0725F" w:rsidRDefault="002F46BB" w:rsidP="00F426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354AE4C1" w14:textId="7367AF85" w:rsidR="002F46BB" w:rsidRPr="002F46BB" w:rsidRDefault="002F46BB" w:rsidP="00F426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1536801B" w14:textId="6BC584D0" w:rsidR="002F46BB" w:rsidRPr="002F46BB" w:rsidRDefault="002F46BB" w:rsidP="00F426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5000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66DD43EE" w14:textId="13851760" w:rsidR="002F46BB" w:rsidRPr="002F46BB" w:rsidRDefault="002F46BB" w:rsidP="00F426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25000</w:t>
            </w:r>
          </w:p>
        </w:tc>
      </w:tr>
      <w:tr w:rsidR="002F46BB" w:rsidRPr="0022631D" w14:paraId="68BD4571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06081F63" w14:textId="24E19841" w:rsidR="002F46BB" w:rsidRPr="00271804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00A8D9EF" w14:textId="77777777" w:rsidR="002F46BB" w:rsidRPr="00844647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46BB" w:rsidRPr="00C0725F" w14:paraId="0D861F4B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401DF2EB" w14:textId="77777777" w:rsidR="002F46BB" w:rsidRPr="00C0725F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57FCF1C5" w14:textId="2A8154FD" w:rsidR="002F46BB" w:rsidRPr="00C0725F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  <w:bookmarkStart w:id="0" w:name="_GoBack"/>
            <w:bookmarkEnd w:id="0"/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1DD3E896" w14:textId="4393BFD1" w:rsidR="002F46BB" w:rsidRPr="00844647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658E8A0C" w14:textId="16329B0E" w:rsidR="002F46BB" w:rsidRPr="00844647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5000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2852DA1C" w14:textId="2E7331AB" w:rsidR="002F46BB" w:rsidRPr="00844647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25000</w:t>
            </w:r>
          </w:p>
        </w:tc>
      </w:tr>
      <w:tr w:rsidR="002F46BB" w:rsidRPr="0022631D" w14:paraId="1973B2FC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28341BB6" w14:textId="52E3C8EA" w:rsidR="002F46BB" w:rsidRPr="00271804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7217E331" w14:textId="77777777" w:rsidR="002F46BB" w:rsidRPr="00844647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46BB" w:rsidRPr="00C0725F" w14:paraId="0FED987C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06A61B7B" w14:textId="77777777" w:rsidR="002F46BB" w:rsidRPr="00C0725F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2D78FE6C" w14:textId="77777777" w:rsidR="002F46BB" w:rsidRPr="00C0725F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15C54CAE" w14:textId="14452ED6" w:rsidR="002F46BB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37500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4D1B61B6" w14:textId="3D2286AF" w:rsidR="002F46BB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7500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2E806D4B" w14:textId="7095B13A" w:rsidR="002F46BB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45000</w:t>
            </w:r>
          </w:p>
        </w:tc>
      </w:tr>
      <w:tr w:rsidR="002F46BB" w:rsidRPr="0022631D" w14:paraId="729E2C28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28FF9667" w14:textId="104CFAF2" w:rsidR="002F46BB" w:rsidRPr="00271804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7039C096" w14:textId="77777777" w:rsidR="002F46BB" w:rsidRPr="00844647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46BB" w:rsidRPr="00C0725F" w14:paraId="4CBEDFF0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3910E980" w14:textId="77777777" w:rsidR="002F46BB" w:rsidRPr="00C0725F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58DAADCA" w14:textId="77777777" w:rsidR="002F46BB" w:rsidRPr="00C0725F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5849F380" w14:textId="39BCED1D" w:rsidR="002F46BB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32500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280F5C87" w14:textId="1FE152DF" w:rsidR="002F46BB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6500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705D7783" w14:textId="2234E69E" w:rsidR="002F46BB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39000</w:t>
            </w:r>
          </w:p>
        </w:tc>
      </w:tr>
      <w:tr w:rsidR="002F46BB" w:rsidRPr="0022631D" w14:paraId="6A82B5F8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51A1E40F" w14:textId="69B11A8E" w:rsidR="002F46BB" w:rsidRPr="00271804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4AB7068A" w14:textId="77777777" w:rsidR="002F46BB" w:rsidRPr="00844647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46BB" w:rsidRPr="00C0725F" w14:paraId="3CCE1D90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338BE321" w14:textId="77777777" w:rsidR="002F46BB" w:rsidRPr="00C0725F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18954261" w14:textId="77777777" w:rsidR="002F46BB" w:rsidRPr="00C0725F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31205177" w14:textId="627FF850" w:rsidR="002F46BB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66000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3FE20DFC" w14:textId="626608C0" w:rsidR="002F46BB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13200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5E3F4886" w14:textId="7F6A98F8" w:rsidR="002F46BB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79200</w:t>
            </w:r>
          </w:p>
        </w:tc>
      </w:tr>
      <w:tr w:rsidR="002F46BB" w:rsidRPr="0022631D" w14:paraId="09700743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4A50F1D5" w14:textId="63385FF8" w:rsidR="002F46BB" w:rsidRPr="00271804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1E5A4E06" w14:textId="77777777" w:rsidR="002F46BB" w:rsidRPr="00844647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46BB" w:rsidRPr="00C0725F" w14:paraId="5F50200C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29D348F8" w14:textId="77777777" w:rsidR="002F46BB" w:rsidRPr="00C0725F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29A30B57" w14:textId="77777777" w:rsidR="002F46BB" w:rsidRPr="00C0725F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6EF6D9C0" w14:textId="377B5F86" w:rsidR="002F46BB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0F0C9017" w14:textId="130C7438" w:rsidR="002F46BB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2000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70008736" w14:textId="5FD34855" w:rsidR="002F46BB" w:rsidRPr="002F46BB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12000</w:t>
            </w:r>
          </w:p>
        </w:tc>
      </w:tr>
      <w:tr w:rsidR="002F46BB" w:rsidRPr="0022631D" w14:paraId="3B8D35FB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1FEA48E6" w14:textId="3F0621C4" w:rsidR="002F46BB" w:rsidRPr="008A3175" w:rsidRDefault="002F46BB" w:rsidP="008A31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8A31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79FB5F8A" w14:textId="77777777" w:rsidR="002F46BB" w:rsidRPr="00844647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46BB" w:rsidRPr="00C0725F" w14:paraId="75CD8620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335CB9F9" w14:textId="77777777" w:rsidR="002F46BB" w:rsidRPr="00C0725F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07574C7E" w14:textId="0AF87BBC" w:rsidR="002F46BB" w:rsidRPr="00C0725F" w:rsidRDefault="002F46BB" w:rsidP="008A31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="008A31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Օպտոլազ</w:t>
            </w: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3B1E38BE" w14:textId="4C20B4F7" w:rsidR="002F46BB" w:rsidRPr="008A3175" w:rsidRDefault="008A3175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49000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1173A8FE" w14:textId="1DCB51C2" w:rsidR="002F46BB" w:rsidRPr="008A3175" w:rsidRDefault="008A3175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1D26D531" w14:textId="1C0C33C7" w:rsidR="002F46BB" w:rsidRPr="008A3175" w:rsidRDefault="008A3175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49000</w:t>
            </w:r>
          </w:p>
        </w:tc>
      </w:tr>
      <w:tr w:rsidR="002F46BB" w:rsidRPr="0022631D" w14:paraId="2427C6D0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689F64D8" w14:textId="5EB1D98C" w:rsidR="002F46BB" w:rsidRPr="008A3175" w:rsidRDefault="002F46BB" w:rsidP="008A31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8A31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9739" w:type="dxa"/>
            <w:gridSpan w:val="23"/>
            <w:shd w:val="clear" w:color="auto" w:fill="auto"/>
            <w:vAlign w:val="center"/>
          </w:tcPr>
          <w:p w14:paraId="45ECAFF9" w14:textId="77777777" w:rsidR="002F46BB" w:rsidRPr="00844647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3175" w:rsidRPr="00C0725F" w14:paraId="6390022C" w14:textId="77777777" w:rsidTr="006C378A">
        <w:trPr>
          <w:trHeight w:val="83"/>
        </w:trPr>
        <w:tc>
          <w:tcPr>
            <w:tcW w:w="1473" w:type="dxa"/>
            <w:gridSpan w:val="4"/>
            <w:shd w:val="clear" w:color="auto" w:fill="auto"/>
            <w:vAlign w:val="center"/>
          </w:tcPr>
          <w:p w14:paraId="2502EDDC" w14:textId="77777777" w:rsidR="008A3175" w:rsidRPr="00C0725F" w:rsidRDefault="008A3175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7C6BD1A8" w14:textId="0A9A5AEC" w:rsidR="008A3175" w:rsidRPr="00C0725F" w:rsidRDefault="008A3175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Օպտոլազ</w:t>
            </w: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4F5717D6" w14:textId="1B2B2AE4" w:rsidR="008A3175" w:rsidRPr="008A3175" w:rsidRDefault="008A3175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19000</w:t>
            </w:r>
          </w:p>
        </w:tc>
        <w:tc>
          <w:tcPr>
            <w:tcW w:w="2179" w:type="dxa"/>
            <w:gridSpan w:val="5"/>
            <w:shd w:val="clear" w:color="auto" w:fill="auto"/>
            <w:vAlign w:val="center"/>
          </w:tcPr>
          <w:p w14:paraId="5B3A45AE" w14:textId="62193F3F" w:rsidR="008A3175" w:rsidRPr="008A3175" w:rsidRDefault="008A3175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6590155A" w14:textId="7D9C4C98" w:rsidR="008A3175" w:rsidRPr="008A3175" w:rsidRDefault="008A3175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19000</w:t>
            </w:r>
          </w:p>
        </w:tc>
      </w:tr>
      <w:tr w:rsidR="002F46BB" w:rsidRPr="0022631D" w14:paraId="3834BDD8" w14:textId="77777777" w:rsidTr="00014D3F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281B3E60" w14:textId="703354F5" w:rsidR="002F46BB" w:rsidRPr="008A3175" w:rsidRDefault="008A3175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 չափաբաժնի համար ոչմի հայտ չի ներկայացվել</w:t>
            </w:r>
          </w:p>
        </w:tc>
      </w:tr>
      <w:tr w:rsidR="002F46BB" w:rsidRPr="0022631D" w14:paraId="44AAA6AA" w14:textId="77777777" w:rsidTr="00014D3F"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3E08F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F46BB" w:rsidRPr="0022631D" w14:paraId="43FCF214" w14:textId="77777777" w:rsidTr="006C378A">
        <w:tc>
          <w:tcPr>
            <w:tcW w:w="809" w:type="dxa"/>
            <w:vMerge w:val="restart"/>
            <w:shd w:val="clear" w:color="auto" w:fill="auto"/>
            <w:vAlign w:val="center"/>
          </w:tcPr>
          <w:p w14:paraId="61C8A3FE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20" w:type="dxa"/>
            <w:gridSpan w:val="5"/>
            <w:vMerge w:val="restart"/>
            <w:shd w:val="clear" w:color="auto" w:fill="auto"/>
            <w:vAlign w:val="center"/>
          </w:tcPr>
          <w:p w14:paraId="6948381D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D9F82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F46BB" w:rsidRPr="0022631D" w14:paraId="132A87D4" w14:textId="77777777" w:rsidTr="006C378A">
        <w:tc>
          <w:tcPr>
            <w:tcW w:w="8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FB76A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C48A7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C2520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B94391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2171F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DED6F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F46BB" w:rsidRPr="00FF78BE" w14:paraId="2E90238A" w14:textId="77777777" w:rsidTr="006C378A"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</w:tcPr>
          <w:p w14:paraId="61A994F3" w14:textId="3537EF4D" w:rsidR="002F46BB" w:rsidRPr="00844647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40C50" w14:textId="2E740D88" w:rsidR="002F46BB" w:rsidRPr="00C0725F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9193155" w14:textId="77777777" w:rsidR="002F46BB" w:rsidRPr="00FF78BE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6863C4D" w14:textId="77777777" w:rsidR="002F46BB" w:rsidRPr="00FF78BE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C45F8B" w14:textId="77777777" w:rsidR="002F46BB" w:rsidRPr="00FF78BE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6921DDC" w14:textId="77777777" w:rsidR="002F46BB" w:rsidRPr="0033502E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*</w:t>
            </w:r>
          </w:p>
        </w:tc>
      </w:tr>
      <w:tr w:rsidR="002F46BB" w:rsidRPr="0022631D" w14:paraId="7AC0E61A" w14:textId="77777777" w:rsidTr="006C378A">
        <w:trPr>
          <w:trHeight w:val="331"/>
        </w:trPr>
        <w:tc>
          <w:tcPr>
            <w:tcW w:w="2329" w:type="dxa"/>
            <w:gridSpan w:val="6"/>
            <w:shd w:val="clear" w:color="auto" w:fill="auto"/>
            <w:vAlign w:val="center"/>
          </w:tcPr>
          <w:p w14:paraId="115A7078" w14:textId="77777777" w:rsidR="002F46BB" w:rsidRPr="0022631D" w:rsidRDefault="002F46BB" w:rsidP="00443EF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83" w:type="dxa"/>
            <w:gridSpan w:val="21"/>
            <w:shd w:val="clear" w:color="auto" w:fill="auto"/>
            <w:vAlign w:val="center"/>
          </w:tcPr>
          <w:p w14:paraId="55997240" w14:textId="77777777" w:rsidR="002F46BB" w:rsidRPr="0022631D" w:rsidRDefault="002F46BB" w:rsidP="00443E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F46BB" w:rsidRPr="0022631D" w14:paraId="54985AEF" w14:textId="77777777" w:rsidTr="00014D3F">
        <w:trPr>
          <w:trHeight w:val="289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5486004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46BB" w:rsidRPr="0022631D" w14:paraId="797268D2" w14:textId="77777777" w:rsidTr="006C378A">
        <w:trPr>
          <w:trHeight w:val="346"/>
        </w:trPr>
        <w:tc>
          <w:tcPr>
            <w:tcW w:w="45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568B9" w14:textId="77777777" w:rsidR="002F46BB" w:rsidRPr="0022631D" w:rsidRDefault="002F46BB" w:rsidP="00443E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6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F829C" w14:textId="143C4C47" w:rsidR="002F46BB" w:rsidRPr="00EB04AA" w:rsidRDefault="002F46BB" w:rsidP="00467FE9">
            <w:pPr>
              <w:widowControl w:val="0"/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467F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Pr="00EB04AA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Pr="00EB04AA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F46BB" w:rsidRPr="0022631D" w14:paraId="400FB904" w14:textId="77777777" w:rsidTr="006C378A">
        <w:trPr>
          <w:trHeight w:val="92"/>
        </w:trPr>
        <w:tc>
          <w:tcPr>
            <w:tcW w:w="4599" w:type="dxa"/>
            <w:gridSpan w:val="14"/>
            <w:vMerge w:val="restart"/>
            <w:shd w:val="clear" w:color="auto" w:fill="auto"/>
            <w:vAlign w:val="center"/>
          </w:tcPr>
          <w:p w14:paraId="352C2B70" w14:textId="77777777" w:rsidR="002F46BB" w:rsidRPr="0022631D" w:rsidRDefault="002F46BB" w:rsidP="00443E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B37EF" w14:textId="77777777" w:rsidR="002F46BB" w:rsidRPr="0022631D" w:rsidRDefault="002F46BB" w:rsidP="00443E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DBA45" w14:textId="77777777" w:rsidR="002F46BB" w:rsidRPr="0022631D" w:rsidRDefault="002F46BB" w:rsidP="00443E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F46BB" w:rsidRPr="0022631D" w14:paraId="6AAEB965" w14:textId="77777777" w:rsidTr="006C378A">
        <w:trPr>
          <w:trHeight w:val="92"/>
        </w:trPr>
        <w:tc>
          <w:tcPr>
            <w:tcW w:w="4599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9A106" w14:textId="77777777" w:rsidR="002F46BB" w:rsidRPr="0022631D" w:rsidRDefault="002F46BB" w:rsidP="00443E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34376" w14:textId="16081E41" w:rsidR="002F46BB" w:rsidRPr="005A346A" w:rsidRDefault="002F46BB" w:rsidP="00467F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467F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FEF5E" w14:textId="12728037" w:rsidR="002F46BB" w:rsidRPr="005A346A" w:rsidRDefault="00467FE9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 w:rsidR="002F46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2F46B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="002F46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2F46B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2F46BB" w:rsidRPr="0022631D" w14:paraId="678E7C83" w14:textId="77777777" w:rsidTr="00014D3F">
        <w:trPr>
          <w:trHeight w:val="344"/>
        </w:trPr>
        <w:tc>
          <w:tcPr>
            <w:tcW w:w="11212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0B4623" w14:textId="4F60ED1C" w:rsidR="002F46BB" w:rsidRPr="00ED7779" w:rsidRDefault="002F46BB" w:rsidP="00467FE9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 w:rsidRPr="004748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467F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Pr="00474873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Pr="0047487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2F46BB" w:rsidRPr="0022631D" w14:paraId="0A2CD135" w14:textId="77777777" w:rsidTr="006C378A">
        <w:trPr>
          <w:trHeight w:val="344"/>
        </w:trPr>
        <w:tc>
          <w:tcPr>
            <w:tcW w:w="45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B9896" w14:textId="77777777" w:rsidR="002F46BB" w:rsidRPr="0022631D" w:rsidRDefault="002F46BB" w:rsidP="00443E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99B04" w14:textId="2D0B5669" w:rsidR="002F46BB" w:rsidRPr="00474873" w:rsidRDefault="002F46BB" w:rsidP="00467F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467F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474873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Pr="00474873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Pr="0047487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2F46BB" w:rsidRPr="0022631D" w14:paraId="38FAF76B" w14:textId="77777777" w:rsidTr="006C378A">
        <w:trPr>
          <w:trHeight w:val="344"/>
        </w:trPr>
        <w:tc>
          <w:tcPr>
            <w:tcW w:w="45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28F2E" w14:textId="77777777" w:rsidR="002F46BB" w:rsidRPr="0022631D" w:rsidRDefault="002F46BB" w:rsidP="00443E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6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BC902" w14:textId="165CBBA6" w:rsidR="002F46BB" w:rsidRPr="00474873" w:rsidRDefault="002F46BB" w:rsidP="00467F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467F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474873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Pr="00474873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Pr="0047487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2F46BB" w:rsidRPr="0022631D" w14:paraId="08F2EAD3" w14:textId="77777777" w:rsidTr="00014D3F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0EF2855D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46BB" w:rsidRPr="0022631D" w14:paraId="5DAAADE7" w14:textId="77777777" w:rsidTr="006C378A">
        <w:tc>
          <w:tcPr>
            <w:tcW w:w="912" w:type="dxa"/>
            <w:gridSpan w:val="2"/>
            <w:vMerge w:val="restart"/>
            <w:shd w:val="clear" w:color="auto" w:fill="auto"/>
            <w:vAlign w:val="center"/>
          </w:tcPr>
          <w:p w14:paraId="6A27504E" w14:textId="77777777" w:rsidR="002F46BB" w:rsidRPr="0022631D" w:rsidRDefault="002F46BB" w:rsidP="00443E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0140AE43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83" w:type="dxa"/>
            <w:gridSpan w:val="21"/>
            <w:shd w:val="clear" w:color="auto" w:fill="auto"/>
            <w:vAlign w:val="center"/>
          </w:tcPr>
          <w:p w14:paraId="2969DF5D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F46BB" w:rsidRPr="0022631D" w14:paraId="071CC160" w14:textId="77777777" w:rsidTr="006C378A">
        <w:trPr>
          <w:trHeight w:val="237"/>
        </w:trPr>
        <w:tc>
          <w:tcPr>
            <w:tcW w:w="912" w:type="dxa"/>
            <w:gridSpan w:val="2"/>
            <w:vMerge/>
            <w:shd w:val="clear" w:color="auto" w:fill="auto"/>
            <w:vAlign w:val="center"/>
          </w:tcPr>
          <w:p w14:paraId="77DE6852" w14:textId="77777777" w:rsidR="002F46BB" w:rsidRPr="0022631D" w:rsidRDefault="002F46BB" w:rsidP="00443E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2A54FB71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1" w:type="dxa"/>
            <w:gridSpan w:val="7"/>
            <w:vMerge w:val="restart"/>
            <w:shd w:val="clear" w:color="auto" w:fill="auto"/>
            <w:vAlign w:val="center"/>
          </w:tcPr>
          <w:p w14:paraId="193ED606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34" w:type="dxa"/>
            <w:gridSpan w:val="3"/>
            <w:vMerge w:val="restart"/>
            <w:shd w:val="clear" w:color="auto" w:fill="auto"/>
            <w:vAlign w:val="center"/>
          </w:tcPr>
          <w:p w14:paraId="1AA571F5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2" w:type="dxa"/>
            <w:gridSpan w:val="4"/>
            <w:vMerge w:val="restart"/>
            <w:shd w:val="clear" w:color="auto" w:fill="auto"/>
            <w:vAlign w:val="center"/>
          </w:tcPr>
          <w:p w14:paraId="58118C4F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109" w:type="dxa"/>
            <w:gridSpan w:val="2"/>
            <w:vMerge w:val="restart"/>
            <w:shd w:val="clear" w:color="auto" w:fill="auto"/>
            <w:vAlign w:val="center"/>
          </w:tcPr>
          <w:p w14:paraId="34409767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57" w:type="dxa"/>
            <w:gridSpan w:val="5"/>
            <w:shd w:val="clear" w:color="auto" w:fill="auto"/>
            <w:vAlign w:val="center"/>
          </w:tcPr>
          <w:p w14:paraId="2CFD290E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F46BB" w:rsidRPr="0022631D" w14:paraId="5C895754" w14:textId="77777777" w:rsidTr="006C378A">
        <w:trPr>
          <w:trHeight w:val="238"/>
        </w:trPr>
        <w:tc>
          <w:tcPr>
            <w:tcW w:w="912" w:type="dxa"/>
            <w:gridSpan w:val="2"/>
            <w:vMerge/>
            <w:shd w:val="clear" w:color="auto" w:fill="auto"/>
            <w:vAlign w:val="center"/>
          </w:tcPr>
          <w:p w14:paraId="753337B2" w14:textId="77777777" w:rsidR="002F46BB" w:rsidRPr="0022631D" w:rsidRDefault="002F46BB" w:rsidP="00443E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48EC8DDE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1" w:type="dxa"/>
            <w:gridSpan w:val="7"/>
            <w:vMerge/>
            <w:shd w:val="clear" w:color="auto" w:fill="auto"/>
            <w:vAlign w:val="center"/>
          </w:tcPr>
          <w:p w14:paraId="360B4E33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4" w:type="dxa"/>
            <w:gridSpan w:val="3"/>
            <w:vMerge/>
            <w:shd w:val="clear" w:color="auto" w:fill="auto"/>
            <w:vAlign w:val="center"/>
          </w:tcPr>
          <w:p w14:paraId="6AC3B81E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14:paraId="717B3C93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2"/>
            <w:vMerge/>
            <w:shd w:val="clear" w:color="auto" w:fill="auto"/>
            <w:vAlign w:val="center"/>
          </w:tcPr>
          <w:p w14:paraId="1FCFBFE7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7" w:type="dxa"/>
            <w:gridSpan w:val="5"/>
            <w:shd w:val="clear" w:color="auto" w:fill="auto"/>
            <w:vAlign w:val="center"/>
          </w:tcPr>
          <w:p w14:paraId="0001B4FF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F46BB" w:rsidRPr="0022631D" w14:paraId="30BF4FFA" w14:textId="77777777" w:rsidTr="006C378A">
        <w:trPr>
          <w:trHeight w:val="263"/>
        </w:trPr>
        <w:tc>
          <w:tcPr>
            <w:tcW w:w="9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8104E" w14:textId="77777777" w:rsidR="002F46BB" w:rsidRPr="0022631D" w:rsidRDefault="002F46BB" w:rsidP="00443E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6390F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7BB2F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4BF88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4ACDA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82F57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CF817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6823E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F46BB" w:rsidRPr="0022631D" w14:paraId="22A9EFF6" w14:textId="77777777" w:rsidTr="006C378A">
        <w:trPr>
          <w:trHeight w:val="263"/>
        </w:trPr>
        <w:tc>
          <w:tcPr>
            <w:tcW w:w="9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C004A" w14:textId="5F401C24" w:rsidR="002F46BB" w:rsidRPr="00B40182" w:rsidRDefault="008A3175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31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1-7, 10-30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3E1E2" w14:textId="1263B91F" w:rsidR="002F46BB" w:rsidRPr="00026F84" w:rsidRDefault="002F46BB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452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22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D947C" w14:textId="1F519778" w:rsidR="002F46BB" w:rsidRPr="00F2311F" w:rsidRDefault="002F46BB" w:rsidP="008A31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«Թ8ՊՈԼ-ԳՀԱՊՁ 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="008A317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2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063CC7" w14:textId="103194C2" w:rsidR="002F46BB" w:rsidRPr="00F2311F" w:rsidRDefault="002F46BB" w:rsidP="00467FE9">
            <w:pPr>
              <w:widowControl w:val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467F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66F23" w14:textId="0A70161D" w:rsidR="002F46BB" w:rsidRPr="00F2311F" w:rsidRDefault="002F46BB" w:rsidP="00443EF0">
            <w:pPr>
              <w:widowControl w:val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25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.12.202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2918B" w14:textId="77777777" w:rsidR="002F46BB" w:rsidRPr="00F2311F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656D8" w14:textId="77777777" w:rsidR="002F46BB" w:rsidRPr="00F2311F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0" w:type="dxa"/>
            <w:tcBorders>
              <w:bottom w:val="single" w:sz="8" w:space="0" w:color="auto"/>
            </w:tcBorders>
            <w:shd w:val="clear" w:color="auto" w:fill="auto"/>
          </w:tcPr>
          <w:p w14:paraId="5CFE4BAC" w14:textId="736D14A4" w:rsidR="002F46BB" w:rsidRPr="008A3175" w:rsidRDefault="008A3175" w:rsidP="008A3175">
            <w:pPr>
              <w:widowControl w:val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A317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8880000</w:t>
            </w:r>
          </w:p>
        </w:tc>
      </w:tr>
      <w:tr w:rsidR="002F46BB" w:rsidRPr="0022631D" w14:paraId="14D148FB" w14:textId="77777777" w:rsidTr="006C378A">
        <w:trPr>
          <w:trHeight w:val="263"/>
        </w:trPr>
        <w:tc>
          <w:tcPr>
            <w:tcW w:w="9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265C4" w14:textId="206879D3" w:rsidR="002F46BB" w:rsidRPr="008A3175" w:rsidRDefault="008A3175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32,33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A6D643" w14:textId="05184398" w:rsidR="002F46BB" w:rsidRPr="002452F9" w:rsidRDefault="002F46BB" w:rsidP="008A31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430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="008A31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Օպտոլազ</w:t>
            </w:r>
            <w:r w:rsidRPr="003430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2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69BCE" w14:textId="048DBA1B" w:rsidR="002F46BB" w:rsidRPr="00F2311F" w:rsidRDefault="002F46BB" w:rsidP="008A31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«Թ8ՊՈԼ-ԳՀԱՊՁ 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="008A317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2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43B61" w14:textId="6D53BEB4" w:rsidR="002F46BB" w:rsidRDefault="002F46BB" w:rsidP="00467FE9">
            <w:pPr>
              <w:widowControl w:val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467F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6B05C" w14:textId="480B9942" w:rsidR="002F46BB" w:rsidRDefault="002F46BB" w:rsidP="00443EF0">
            <w:pPr>
              <w:widowControl w:val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25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.12.202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89522" w14:textId="77777777" w:rsidR="002F46BB" w:rsidRPr="00F2311F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E1FC7" w14:textId="77777777" w:rsidR="002F46BB" w:rsidRPr="00F2311F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0" w:type="dxa"/>
            <w:tcBorders>
              <w:bottom w:val="single" w:sz="8" w:space="0" w:color="auto"/>
            </w:tcBorders>
            <w:shd w:val="clear" w:color="auto" w:fill="auto"/>
          </w:tcPr>
          <w:p w14:paraId="5FE5FABF" w14:textId="7B5D602F" w:rsidR="002F46BB" w:rsidRPr="008A3175" w:rsidRDefault="008A3175" w:rsidP="008A3175">
            <w:pPr>
              <w:widowControl w:val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A317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68000</w:t>
            </w:r>
          </w:p>
        </w:tc>
      </w:tr>
      <w:tr w:rsidR="002F46BB" w:rsidRPr="005D0449" w14:paraId="6329AC4E" w14:textId="77777777" w:rsidTr="00014D3F">
        <w:trPr>
          <w:trHeight w:val="150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777BCB0D" w14:textId="77777777" w:rsidR="002F46BB" w:rsidRPr="005D0449" w:rsidRDefault="002F46BB" w:rsidP="00443E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D04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F46BB" w:rsidRPr="0022631D" w14:paraId="482C3F9D" w14:textId="77777777" w:rsidTr="008A3175">
        <w:trPr>
          <w:trHeight w:val="125"/>
        </w:trPr>
        <w:tc>
          <w:tcPr>
            <w:tcW w:w="9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40C78" w14:textId="77777777" w:rsidR="002F46BB" w:rsidRPr="0022631D" w:rsidRDefault="002F46BB" w:rsidP="00443E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F3329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A5E06" w14:textId="77777777" w:rsidR="002F46BB" w:rsidRPr="0022631D" w:rsidRDefault="002F46BB" w:rsidP="00443E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5D383" w14:textId="77777777" w:rsidR="002F46BB" w:rsidRPr="0022631D" w:rsidRDefault="002F46BB" w:rsidP="00443E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1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01F6F" w14:textId="77777777" w:rsidR="002F46BB" w:rsidRPr="0022631D" w:rsidRDefault="002F46BB" w:rsidP="00443E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2ACCD" w14:textId="77777777" w:rsidR="002F46BB" w:rsidRPr="0022631D" w:rsidRDefault="002F46BB" w:rsidP="00443E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8A3175" w:rsidRPr="0022631D" w14:paraId="117998A2" w14:textId="77777777" w:rsidTr="008A3175">
        <w:trPr>
          <w:trHeight w:val="125"/>
        </w:trPr>
        <w:tc>
          <w:tcPr>
            <w:tcW w:w="9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14FB6" w14:textId="50DE6C9E" w:rsidR="008A3175" w:rsidRPr="0076129C" w:rsidRDefault="008A3175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31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1-7, 10-30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BE59D" w14:textId="2A008123" w:rsidR="008A3175" w:rsidRPr="00026F84" w:rsidRDefault="008A3175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452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A6EE6" w14:textId="77777777" w:rsidR="008A3175" w:rsidRDefault="008A3175" w:rsidP="00443EF0">
            <w:pPr>
              <w:widowControl w:val="0"/>
              <w:spacing w:before="0" w:after="0"/>
              <w:rPr>
                <w:rFonts w:ascii="GHEA Grapalat" w:hAnsi="GHEA Grapalat"/>
                <w:sz w:val="14"/>
                <w:szCs w:val="14"/>
              </w:rPr>
            </w:pPr>
            <w:r w:rsidRPr="00AD5AD9">
              <w:rPr>
                <w:rFonts w:ascii="GHEA Grapalat" w:hAnsi="GHEA Grapalat"/>
                <w:sz w:val="14"/>
                <w:szCs w:val="14"/>
              </w:rPr>
              <w:t>ք. Երևան, Կոմիտասի 49/4</w:t>
            </w:r>
          </w:p>
          <w:p w14:paraId="44C40F03" w14:textId="44FD2A9F" w:rsidR="008A3175" w:rsidRPr="0009718C" w:rsidRDefault="008A3175" w:rsidP="00443EF0">
            <w:pPr>
              <w:widowControl w:val="0"/>
              <w:spacing w:before="0" w:after="0"/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>հեռ. 0</w:t>
            </w:r>
            <w:r>
              <w:rPr>
                <w:rFonts w:ascii="GHEA Grapalat" w:hAnsi="GHEA Grapalat"/>
                <w:sz w:val="14"/>
                <w:szCs w:val="14"/>
              </w:rPr>
              <w:t>77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20 72 62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0C4E0" w14:textId="3F58F106" w:rsidR="008A3175" w:rsidRPr="00B038E9" w:rsidRDefault="008A3175" w:rsidP="00443EF0">
            <w:pPr>
              <w:widowControl w:val="0"/>
              <w:jc w:val="center"/>
              <w:rPr>
                <w:rStyle w:val="Hyperlink"/>
                <w:rFonts w:ascii="GHEA Grapalat" w:hAnsi="GHEA Grapalat"/>
                <w:sz w:val="14"/>
                <w:szCs w:val="14"/>
              </w:rPr>
            </w:pPr>
            <w:r w:rsidRPr="00AD5AD9">
              <w:rPr>
                <w:rStyle w:val="Hyperlink"/>
                <w:rFonts w:ascii="GHEA Grapalat" w:hAnsi="GHEA Grapalat"/>
                <w:sz w:val="16"/>
                <w:szCs w:val="16"/>
              </w:rPr>
              <w:t>deltadiagnostic2014@gmail.com</w:t>
            </w:r>
          </w:p>
        </w:tc>
        <w:tc>
          <w:tcPr>
            <w:tcW w:w="31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D9699" w14:textId="52235629" w:rsidR="008A3175" w:rsidRPr="00AD5AD9" w:rsidRDefault="008A3175" w:rsidP="00443EF0">
            <w:pPr>
              <w:rPr>
                <w:rFonts w:ascii="GHEA Grapalat" w:hAnsi="GHEA Grapalat"/>
                <w:sz w:val="14"/>
                <w:szCs w:val="14"/>
              </w:rPr>
            </w:pPr>
            <w:r w:rsidRPr="00AD5AD9">
              <w:rPr>
                <w:rFonts w:ascii="GHEA Grapalat" w:hAnsi="GHEA Grapalat"/>
                <w:sz w:val="14"/>
                <w:szCs w:val="14"/>
              </w:rPr>
              <w:t xml:space="preserve">Հ/Հ 193004670058 </w:t>
            </w:r>
          </w:p>
        </w:tc>
        <w:tc>
          <w:tcPr>
            <w:tcW w:w="19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74186" w14:textId="30AD3AB6" w:rsidR="008A3175" w:rsidRPr="00AD5AD9" w:rsidRDefault="008A3175" w:rsidP="00443EF0">
            <w:pPr>
              <w:rPr>
                <w:rFonts w:ascii="GHEA Grapalat" w:hAnsi="GHEA Grapalat"/>
                <w:sz w:val="14"/>
                <w:szCs w:val="14"/>
              </w:rPr>
            </w:pPr>
            <w:r w:rsidRPr="00AD5AD9">
              <w:rPr>
                <w:rFonts w:ascii="GHEA Grapalat" w:hAnsi="GHEA Grapalat"/>
                <w:sz w:val="14"/>
                <w:szCs w:val="14"/>
              </w:rPr>
              <w:t>ՀՎՀՀ 00004912</w:t>
            </w:r>
          </w:p>
        </w:tc>
      </w:tr>
      <w:tr w:rsidR="008A3175" w:rsidRPr="0022631D" w14:paraId="68AB5C7C" w14:textId="77777777" w:rsidTr="008A3175">
        <w:trPr>
          <w:trHeight w:val="125"/>
        </w:trPr>
        <w:tc>
          <w:tcPr>
            <w:tcW w:w="9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C8AD4" w14:textId="381263D4" w:rsidR="008A3175" w:rsidRPr="0076129C" w:rsidRDefault="008A3175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32,33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69373" w14:textId="1001C85F" w:rsidR="008A3175" w:rsidRPr="002452F9" w:rsidRDefault="008A3175" w:rsidP="00443E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430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Օպտոլազ</w:t>
            </w:r>
            <w:r w:rsidRPr="003430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F62F4" w14:textId="77777777" w:rsidR="008A3175" w:rsidRDefault="008A3175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F3A9F">
              <w:rPr>
                <w:rFonts w:ascii="GHEA Grapalat" w:hAnsi="GHEA Grapalat"/>
                <w:sz w:val="14"/>
                <w:szCs w:val="14"/>
              </w:rPr>
              <w:t xml:space="preserve">ՀՀ, ք. Երևան,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Վաղարշյան 20/1-24</w:t>
            </w:r>
          </w:p>
          <w:p w14:paraId="3FE290E2" w14:textId="0ACA9EB1" w:rsidR="008A3175" w:rsidRPr="008A3175" w:rsidRDefault="008A3175" w:rsidP="00443EF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gramStart"/>
            <w:r w:rsidRPr="00567543">
              <w:rPr>
                <w:rFonts w:ascii="GHEA Grapalat" w:hAnsi="GHEA Grapalat"/>
                <w:sz w:val="14"/>
                <w:szCs w:val="14"/>
              </w:rPr>
              <w:t>հեռ</w:t>
            </w:r>
            <w:proofErr w:type="gramEnd"/>
            <w:r w:rsidRPr="004F3A9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+374 96</w:t>
            </w:r>
            <w:r w:rsidRPr="004F3A9F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43</w:t>
            </w:r>
            <w:r w:rsidRPr="004F3A9F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4F3A9F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79</w:t>
            </w:r>
          </w:p>
          <w:p w14:paraId="6CB37199" w14:textId="11D0ABF3" w:rsidR="008A3175" w:rsidRPr="00AD5AD9" w:rsidRDefault="008A3175" w:rsidP="00443EF0">
            <w:pPr>
              <w:widowControl w:val="0"/>
              <w:spacing w:before="0" w:after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9FE15" w14:textId="01BDB823" w:rsidR="008A3175" w:rsidRPr="00AD5AD9" w:rsidRDefault="008A3175" w:rsidP="008A3175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</w:rPr>
            </w:pPr>
            <w:r>
              <w:rPr>
                <w:rStyle w:val="Hyperlink"/>
                <w:rFonts w:ascii="GHEA Grapalat" w:hAnsi="GHEA Grapalat"/>
                <w:sz w:val="16"/>
                <w:szCs w:val="16"/>
              </w:rPr>
              <w:t>optolaz</w:t>
            </w:r>
            <w:r w:rsidRPr="0087132E">
              <w:rPr>
                <w:rStyle w:val="Hyperlink"/>
                <w:rFonts w:ascii="GHEA Grapalat" w:hAnsi="GHEA Grapalat"/>
                <w:sz w:val="16"/>
                <w:szCs w:val="16"/>
                <w:lang w:val="ru-RU"/>
              </w:rPr>
              <w:t>@</w:t>
            </w:r>
            <w:r>
              <w:rPr>
                <w:rStyle w:val="Hyperlink"/>
                <w:rFonts w:ascii="GHEA Grapalat" w:hAnsi="GHEA Grapalat"/>
                <w:sz w:val="16"/>
                <w:szCs w:val="16"/>
              </w:rPr>
              <w:t>yahoo</w:t>
            </w:r>
            <w:r w:rsidRPr="0087132E">
              <w:rPr>
                <w:rStyle w:val="Hyperlink"/>
                <w:rFonts w:ascii="GHEA Grapalat" w:hAnsi="GHEA Grapalat"/>
                <w:sz w:val="16"/>
                <w:szCs w:val="16"/>
                <w:lang w:val="ru-RU"/>
              </w:rPr>
              <w:t>.</w:t>
            </w:r>
            <w:r>
              <w:rPr>
                <w:rStyle w:val="Hyperlink"/>
                <w:rFonts w:ascii="GHEA Grapalat" w:hAnsi="GHEA Grapalat"/>
                <w:sz w:val="16"/>
                <w:szCs w:val="16"/>
              </w:rPr>
              <w:t>com</w:t>
            </w:r>
          </w:p>
        </w:tc>
        <w:tc>
          <w:tcPr>
            <w:tcW w:w="31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127BF" w14:textId="77777777" w:rsidR="008A3175" w:rsidRPr="008A3175" w:rsidRDefault="008A3175" w:rsidP="008A3175">
            <w:pPr>
              <w:rPr>
                <w:rFonts w:ascii="GHEA Grapalat" w:hAnsi="GHEA Grapalat"/>
                <w:sz w:val="14"/>
                <w:szCs w:val="14"/>
              </w:rPr>
            </w:pPr>
            <w:r w:rsidRPr="008A3175">
              <w:rPr>
                <w:rFonts w:ascii="GHEA Grapalat" w:hAnsi="GHEA Grapalat"/>
                <w:sz w:val="14"/>
                <w:szCs w:val="14"/>
              </w:rPr>
              <w:t>Հ/Հ 1930042785220100</w:t>
            </w:r>
          </w:p>
          <w:p w14:paraId="6F353D13" w14:textId="742AD7AE" w:rsidR="008A3175" w:rsidRPr="00AD5AD9" w:rsidRDefault="008A3175" w:rsidP="008A317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F27F9" w14:textId="77777777" w:rsidR="008A3175" w:rsidRPr="008A3175" w:rsidRDefault="008A3175" w:rsidP="008A3175">
            <w:pPr>
              <w:rPr>
                <w:rFonts w:ascii="GHEA Grapalat" w:hAnsi="GHEA Grapalat"/>
                <w:sz w:val="14"/>
                <w:szCs w:val="14"/>
              </w:rPr>
            </w:pPr>
            <w:r w:rsidRPr="008A3175">
              <w:rPr>
                <w:rFonts w:ascii="GHEA Grapalat" w:hAnsi="GHEA Grapalat"/>
                <w:sz w:val="14"/>
                <w:szCs w:val="14"/>
              </w:rPr>
              <w:t>ՀՎՀՀ 00054426</w:t>
            </w:r>
          </w:p>
          <w:p w14:paraId="6874ECBF" w14:textId="2A472F93" w:rsidR="008A3175" w:rsidRPr="00AD5AD9" w:rsidRDefault="008A3175" w:rsidP="008A3175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F46BB" w:rsidRPr="00072C85" w14:paraId="26B2CDE4" w14:textId="77777777" w:rsidTr="00014D3F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176F5F96" w14:textId="77777777" w:rsidR="002F46BB" w:rsidRPr="00DE5EC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46BB" w:rsidRPr="0022631D" w14:paraId="27655EB7" w14:textId="77777777" w:rsidTr="006C37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179D9" w14:textId="77777777" w:rsidR="002F46BB" w:rsidRPr="0022631D" w:rsidRDefault="002F46BB" w:rsidP="00443EF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C4163" w14:textId="77777777" w:rsidR="002F46BB" w:rsidRPr="001350CF" w:rsidRDefault="002F46BB" w:rsidP="00443EF0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</w:p>
        </w:tc>
      </w:tr>
      <w:tr w:rsidR="002F46BB" w:rsidRPr="0022631D" w14:paraId="5580CC7C" w14:textId="77777777" w:rsidTr="00014D3F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76EF4D99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46BB" w:rsidRPr="00E56328" w14:paraId="4083B51F" w14:textId="77777777" w:rsidTr="00014D3F">
        <w:trPr>
          <w:trHeight w:val="288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49318C16" w14:textId="77777777" w:rsidR="002F46BB" w:rsidRPr="00E4188B" w:rsidRDefault="002F46BB" w:rsidP="00443EF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0CD7F612" w14:textId="77777777" w:rsidR="002F46BB" w:rsidRPr="004D078F" w:rsidRDefault="002F46BB" w:rsidP="00443EF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5407CE5B" w14:textId="77777777" w:rsidR="002F46BB" w:rsidRPr="004D078F" w:rsidRDefault="002F46BB" w:rsidP="00443EF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A844D47" w14:textId="77777777" w:rsidR="002F46BB" w:rsidRPr="004D078F" w:rsidRDefault="002F46BB" w:rsidP="00443EF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50957CED" w14:textId="77777777" w:rsidR="002F46BB" w:rsidRPr="004D078F" w:rsidRDefault="002F46BB" w:rsidP="00443EF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1E66BAA" w14:textId="77777777" w:rsidR="002F46BB" w:rsidRPr="004D078F" w:rsidRDefault="002F46BB" w:rsidP="00443EF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FBD0AE2" w14:textId="77777777" w:rsidR="002F46BB" w:rsidRPr="004D078F" w:rsidRDefault="002F46BB" w:rsidP="00443EF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2576DCC" w14:textId="77777777" w:rsidR="002F46BB" w:rsidRPr="004D078F" w:rsidRDefault="002F46BB" w:rsidP="00443EF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1C01F4" w14:textId="77777777" w:rsidR="002F46BB" w:rsidRPr="004D078F" w:rsidRDefault="002F46BB" w:rsidP="00443EF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pol.8@mail.ru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F46BB" w:rsidRPr="00E56328" w14:paraId="79F3A43B" w14:textId="77777777" w:rsidTr="00014D3F">
        <w:trPr>
          <w:trHeight w:val="187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17C84B0B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F46BB" w:rsidRPr="00E56328" w14:paraId="6498CDAB" w14:textId="77777777" w:rsidTr="006C378A">
        <w:trPr>
          <w:trHeight w:val="475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2F07754" w14:textId="77777777" w:rsidR="002F46BB" w:rsidRPr="0022631D" w:rsidRDefault="002F46BB" w:rsidP="00443E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</w:t>
            </w:r>
            <w:r w:rsidRPr="0083728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մասին տեղեկությունները </w:t>
            </w:r>
          </w:p>
        </w:tc>
        <w:tc>
          <w:tcPr>
            <w:tcW w:w="8678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2E1E89CA" w14:textId="77777777" w:rsidR="002F46BB" w:rsidRPr="0022631D" w:rsidRDefault="002F46BB" w:rsidP="00443E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F46BB" w:rsidRPr="00E56328" w14:paraId="6D1A5189" w14:textId="77777777" w:rsidTr="00014D3F">
        <w:trPr>
          <w:trHeight w:val="187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5516F74E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F46BB" w:rsidRPr="00E56328" w14:paraId="3E054ECE" w14:textId="77777777" w:rsidTr="006C378A">
        <w:trPr>
          <w:trHeight w:val="427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6EBAF" w14:textId="77777777" w:rsidR="002F46BB" w:rsidRPr="0022631D" w:rsidRDefault="002F46BB" w:rsidP="00443E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C563D" w14:textId="77777777" w:rsidR="002F46BB" w:rsidRPr="0022631D" w:rsidRDefault="002F46BB" w:rsidP="00443E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F46BB" w:rsidRPr="00E56328" w14:paraId="484C3B2C" w14:textId="77777777" w:rsidTr="00014D3F">
        <w:trPr>
          <w:trHeight w:val="178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CAD1D5C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F46BB" w:rsidRPr="00E56328" w14:paraId="4E569D0A" w14:textId="77777777" w:rsidTr="006C378A">
        <w:trPr>
          <w:trHeight w:val="427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6DE6D" w14:textId="77777777" w:rsidR="002F46BB" w:rsidRPr="00E56328" w:rsidRDefault="002F46BB" w:rsidP="00443E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FD476" w14:textId="77777777" w:rsidR="002F46BB" w:rsidRPr="00E56328" w:rsidRDefault="002F46BB" w:rsidP="00443E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F46BB" w:rsidRPr="00E56328" w14:paraId="29ABD427" w14:textId="77777777" w:rsidTr="00014D3F">
        <w:trPr>
          <w:trHeight w:val="115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6BD3713B" w14:textId="77777777" w:rsidR="002F46BB" w:rsidRPr="00E56328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F46BB" w:rsidRPr="0022631D" w14:paraId="20328811" w14:textId="77777777" w:rsidTr="006C378A">
        <w:trPr>
          <w:trHeight w:val="250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6AF6A" w14:textId="77777777" w:rsidR="002F46BB" w:rsidRPr="0022631D" w:rsidRDefault="002F46BB" w:rsidP="00443E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447C7" w14:textId="77777777" w:rsidR="002F46BB" w:rsidRPr="0022631D" w:rsidRDefault="002F46BB" w:rsidP="00443E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F46BB" w:rsidRPr="0022631D" w14:paraId="45F28BBB" w14:textId="77777777" w:rsidTr="00014D3F">
        <w:trPr>
          <w:trHeight w:val="160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4D9AC7DF" w14:textId="77777777" w:rsidR="002F46BB" w:rsidRPr="0022631D" w:rsidRDefault="002F46BB" w:rsidP="00443E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46BB" w:rsidRPr="0022631D" w14:paraId="3A00B10D" w14:textId="77777777" w:rsidTr="00014D3F">
        <w:trPr>
          <w:trHeight w:val="227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04E756FC" w14:textId="77777777" w:rsidR="002F46BB" w:rsidRPr="0022631D" w:rsidRDefault="002F46BB" w:rsidP="00443E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F46BB" w:rsidRPr="0022631D" w14:paraId="1830EC0B" w14:textId="77777777" w:rsidTr="00443EF0">
        <w:trPr>
          <w:trHeight w:val="47"/>
        </w:trPr>
        <w:tc>
          <w:tcPr>
            <w:tcW w:w="3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51FB5" w14:textId="77777777" w:rsidR="002F46BB" w:rsidRPr="0022631D" w:rsidRDefault="002F46BB" w:rsidP="00443E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E3061" w14:textId="77777777" w:rsidR="002F46BB" w:rsidRPr="0022631D" w:rsidRDefault="002F46BB" w:rsidP="00443E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2D9F8" w14:textId="77777777" w:rsidR="002F46BB" w:rsidRPr="0022631D" w:rsidRDefault="002F46BB" w:rsidP="00443E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F46BB" w:rsidRPr="0022631D" w14:paraId="1F1419EA" w14:textId="77777777" w:rsidTr="00443EF0">
        <w:trPr>
          <w:trHeight w:val="47"/>
        </w:trPr>
        <w:tc>
          <w:tcPr>
            <w:tcW w:w="3182" w:type="dxa"/>
            <w:gridSpan w:val="8"/>
            <w:shd w:val="clear" w:color="auto" w:fill="auto"/>
            <w:vAlign w:val="center"/>
          </w:tcPr>
          <w:p w14:paraId="27DC1985" w14:textId="77777777" w:rsidR="002F46BB" w:rsidRPr="001E26B8" w:rsidRDefault="002F46BB" w:rsidP="00443EF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 Ավագյան</w:t>
            </w:r>
          </w:p>
        </w:tc>
        <w:tc>
          <w:tcPr>
            <w:tcW w:w="4104" w:type="dxa"/>
            <w:gridSpan w:val="13"/>
            <w:shd w:val="clear" w:color="auto" w:fill="auto"/>
            <w:vAlign w:val="center"/>
          </w:tcPr>
          <w:p w14:paraId="41CBCDA5" w14:textId="77777777" w:rsidR="002F46BB" w:rsidRPr="00BF7713" w:rsidRDefault="002F46BB" w:rsidP="00443EF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010 27  09 30</w:t>
            </w:r>
          </w:p>
        </w:tc>
        <w:tc>
          <w:tcPr>
            <w:tcW w:w="3926" w:type="dxa"/>
            <w:gridSpan w:val="6"/>
            <w:shd w:val="clear" w:color="auto" w:fill="auto"/>
            <w:vAlign w:val="center"/>
          </w:tcPr>
          <w:p w14:paraId="429D13F9" w14:textId="77777777" w:rsidR="002F46BB" w:rsidRPr="001E26B8" w:rsidRDefault="002F46BB" w:rsidP="00443EF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Gayaneavagyan72@mail.ru</w:t>
            </w:r>
          </w:p>
        </w:tc>
      </w:tr>
    </w:tbl>
    <w:p w14:paraId="6132F368" w14:textId="57620503" w:rsidR="001021B0" w:rsidRDefault="00A138FF" w:rsidP="002B26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Pr="00AB3A40">
        <w:rPr>
          <w:rFonts w:ascii="GHEA Grapalat" w:hAnsi="GHEA Grapalat"/>
          <w:sz w:val="20"/>
        </w:rPr>
        <w:t xml:space="preserve">   </w:t>
      </w:r>
      <w:r w:rsidR="00B93212">
        <w:rPr>
          <w:rFonts w:ascii="GHEA Grapalat" w:hAnsi="GHEA Grapalat"/>
          <w:sz w:val="20"/>
        </w:rPr>
        <w:t xml:space="preserve">Երևանի </w:t>
      </w:r>
      <w:r w:rsidRPr="00D50658">
        <w:rPr>
          <w:rFonts w:ascii="GHEA Grapalat" w:hAnsi="GHEA Grapalat" w:cs="Sylfaen"/>
          <w:sz w:val="20"/>
          <w:lang w:val="af-ZA"/>
        </w:rPr>
        <w:t>«</w:t>
      </w:r>
      <w:r w:rsidR="00B93212">
        <w:rPr>
          <w:rFonts w:ascii="GHEA Grapalat" w:hAnsi="GHEA Grapalat" w:cs="Sylfaen"/>
          <w:sz w:val="20"/>
          <w:lang w:val="af-ZA"/>
        </w:rPr>
        <w:t>Բաղրամյան ԱԿ</w:t>
      </w:r>
      <w:r w:rsidRPr="00D50658">
        <w:rPr>
          <w:rFonts w:ascii="GHEA Grapalat" w:hAnsi="GHEA Grapalat" w:cs="Sylfaen"/>
          <w:sz w:val="20"/>
          <w:lang w:val="af-ZA"/>
        </w:rPr>
        <w:t>» ՓԲԸ</w:t>
      </w:r>
    </w:p>
    <w:p w14:paraId="66671A55" w14:textId="77777777" w:rsidR="00ED7779" w:rsidRPr="001A1999" w:rsidRDefault="00ED7779" w:rsidP="002B2639">
      <w:pPr>
        <w:ind w:firstLine="709"/>
        <w:jc w:val="both"/>
        <w:rPr>
          <w:rFonts w:ascii="GHEA Mariam" w:hAnsi="GHEA Mariam"/>
          <w:sz w:val="18"/>
          <w:szCs w:val="18"/>
          <w:lang w:val="hy-AM"/>
        </w:rPr>
      </w:pPr>
    </w:p>
    <w:sectPr w:rsidR="00ED7779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E1444" w14:textId="77777777" w:rsidR="002F46BB" w:rsidRDefault="002F46BB" w:rsidP="0022631D">
      <w:pPr>
        <w:spacing w:before="0" w:after="0"/>
      </w:pPr>
      <w:r>
        <w:separator/>
      </w:r>
    </w:p>
  </w:endnote>
  <w:endnote w:type="continuationSeparator" w:id="0">
    <w:p w14:paraId="099F714F" w14:textId="77777777" w:rsidR="002F46BB" w:rsidRDefault="002F46B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0CEF8" w14:textId="77777777" w:rsidR="002F46BB" w:rsidRDefault="002F46BB" w:rsidP="0022631D">
      <w:pPr>
        <w:spacing w:before="0" w:after="0"/>
      </w:pPr>
      <w:r>
        <w:separator/>
      </w:r>
    </w:p>
  </w:footnote>
  <w:footnote w:type="continuationSeparator" w:id="0">
    <w:p w14:paraId="7C6CC140" w14:textId="77777777" w:rsidR="002F46BB" w:rsidRDefault="002F46BB" w:rsidP="0022631D">
      <w:pPr>
        <w:spacing w:before="0" w:after="0"/>
      </w:pPr>
      <w:r>
        <w:continuationSeparator/>
      </w:r>
    </w:p>
  </w:footnote>
  <w:footnote w:id="1">
    <w:p w14:paraId="5521062C" w14:textId="77777777" w:rsidR="002F46BB" w:rsidRPr="00541A77" w:rsidRDefault="002F46BB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EF6B3D4" w14:textId="77777777" w:rsidR="002F46BB" w:rsidRPr="002D0BF6" w:rsidRDefault="002F46B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95DB0CC" w14:textId="77777777" w:rsidR="002F46BB" w:rsidRPr="002D0BF6" w:rsidRDefault="002F46B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A54416C" w14:textId="77777777" w:rsidR="002F46BB" w:rsidRPr="002D0BF6" w:rsidRDefault="002F46B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D5EB8BB" w14:textId="77777777" w:rsidR="002F46BB" w:rsidRPr="002D0BF6" w:rsidRDefault="002F46B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5E1B85E" w14:textId="77777777" w:rsidR="002F46BB" w:rsidRPr="00871366" w:rsidRDefault="002F46B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F6AF790" w14:textId="77777777" w:rsidR="002F46BB" w:rsidRPr="002D0BF6" w:rsidRDefault="002F46BB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5A8549B" w14:textId="77777777" w:rsidR="002F46BB" w:rsidRPr="0078682E" w:rsidRDefault="002F46B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55C2C3E8" w14:textId="77777777" w:rsidR="002F46BB" w:rsidRPr="0078682E" w:rsidRDefault="002F46BB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BE27007" w14:textId="77777777" w:rsidR="002F46BB" w:rsidRPr="00005B9C" w:rsidRDefault="002F46BB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0EAB"/>
    <w:rsid w:val="00012170"/>
    <w:rsid w:val="00014D3F"/>
    <w:rsid w:val="0001613F"/>
    <w:rsid w:val="00026F84"/>
    <w:rsid w:val="000277C7"/>
    <w:rsid w:val="00033653"/>
    <w:rsid w:val="000404A4"/>
    <w:rsid w:val="00044EA8"/>
    <w:rsid w:val="00046CCF"/>
    <w:rsid w:val="00051ECE"/>
    <w:rsid w:val="0007090E"/>
    <w:rsid w:val="00072C85"/>
    <w:rsid w:val="00073D66"/>
    <w:rsid w:val="0008112F"/>
    <w:rsid w:val="00096B76"/>
    <w:rsid w:val="0009718C"/>
    <w:rsid w:val="000B0199"/>
    <w:rsid w:val="000C3D2D"/>
    <w:rsid w:val="000D1147"/>
    <w:rsid w:val="000D1A7C"/>
    <w:rsid w:val="000D4133"/>
    <w:rsid w:val="000E3629"/>
    <w:rsid w:val="000E4FF1"/>
    <w:rsid w:val="000F376D"/>
    <w:rsid w:val="001021B0"/>
    <w:rsid w:val="00102EAD"/>
    <w:rsid w:val="00107D87"/>
    <w:rsid w:val="00110038"/>
    <w:rsid w:val="001163CF"/>
    <w:rsid w:val="001309D2"/>
    <w:rsid w:val="001350CF"/>
    <w:rsid w:val="00154D7B"/>
    <w:rsid w:val="001622E2"/>
    <w:rsid w:val="0017560D"/>
    <w:rsid w:val="0018422F"/>
    <w:rsid w:val="00187266"/>
    <w:rsid w:val="001A1999"/>
    <w:rsid w:val="001A2A70"/>
    <w:rsid w:val="001A332B"/>
    <w:rsid w:val="001B289D"/>
    <w:rsid w:val="001B3DCB"/>
    <w:rsid w:val="001C01D4"/>
    <w:rsid w:val="001C1252"/>
    <w:rsid w:val="001C1BE1"/>
    <w:rsid w:val="001C5CF2"/>
    <w:rsid w:val="001E0091"/>
    <w:rsid w:val="001E43AD"/>
    <w:rsid w:val="001E69FD"/>
    <w:rsid w:val="00205461"/>
    <w:rsid w:val="0022631D"/>
    <w:rsid w:val="0022717E"/>
    <w:rsid w:val="002452F9"/>
    <w:rsid w:val="00260235"/>
    <w:rsid w:val="00271804"/>
    <w:rsid w:val="00274B49"/>
    <w:rsid w:val="00290E9E"/>
    <w:rsid w:val="0029299E"/>
    <w:rsid w:val="00295B92"/>
    <w:rsid w:val="002B12C4"/>
    <w:rsid w:val="002B2639"/>
    <w:rsid w:val="002C2EA9"/>
    <w:rsid w:val="002D6860"/>
    <w:rsid w:val="002E4E6F"/>
    <w:rsid w:val="002F16CC"/>
    <w:rsid w:val="002F1FEB"/>
    <w:rsid w:val="002F46BB"/>
    <w:rsid w:val="0033502E"/>
    <w:rsid w:val="00336171"/>
    <w:rsid w:val="00336B2C"/>
    <w:rsid w:val="0034309F"/>
    <w:rsid w:val="003621F8"/>
    <w:rsid w:val="00362B49"/>
    <w:rsid w:val="0036588E"/>
    <w:rsid w:val="003658FF"/>
    <w:rsid w:val="00371B1D"/>
    <w:rsid w:val="003736A2"/>
    <w:rsid w:val="00380BA9"/>
    <w:rsid w:val="003A6377"/>
    <w:rsid w:val="003B2758"/>
    <w:rsid w:val="003C2E56"/>
    <w:rsid w:val="003E3D40"/>
    <w:rsid w:val="003E6978"/>
    <w:rsid w:val="003F2E89"/>
    <w:rsid w:val="00413D70"/>
    <w:rsid w:val="00416BF8"/>
    <w:rsid w:val="0042129D"/>
    <w:rsid w:val="004217DA"/>
    <w:rsid w:val="0042491E"/>
    <w:rsid w:val="00433E3C"/>
    <w:rsid w:val="00443EF0"/>
    <w:rsid w:val="00453A6E"/>
    <w:rsid w:val="00467FE9"/>
    <w:rsid w:val="00472069"/>
    <w:rsid w:val="0047335D"/>
    <w:rsid w:val="00474873"/>
    <w:rsid w:val="00474C2F"/>
    <w:rsid w:val="004764CD"/>
    <w:rsid w:val="004875E0"/>
    <w:rsid w:val="00490EF8"/>
    <w:rsid w:val="00495B31"/>
    <w:rsid w:val="004960F8"/>
    <w:rsid w:val="004A112A"/>
    <w:rsid w:val="004D078F"/>
    <w:rsid w:val="004D693C"/>
    <w:rsid w:val="004D75AA"/>
    <w:rsid w:val="004E376E"/>
    <w:rsid w:val="004E5D50"/>
    <w:rsid w:val="005001E7"/>
    <w:rsid w:val="005022FA"/>
    <w:rsid w:val="00503BCC"/>
    <w:rsid w:val="00504579"/>
    <w:rsid w:val="00522229"/>
    <w:rsid w:val="00527AD3"/>
    <w:rsid w:val="00532A0D"/>
    <w:rsid w:val="0054261F"/>
    <w:rsid w:val="00546023"/>
    <w:rsid w:val="00556251"/>
    <w:rsid w:val="00561330"/>
    <w:rsid w:val="005737F9"/>
    <w:rsid w:val="00586452"/>
    <w:rsid w:val="00591E30"/>
    <w:rsid w:val="005A346A"/>
    <w:rsid w:val="005A3AB8"/>
    <w:rsid w:val="005A44BD"/>
    <w:rsid w:val="005B2521"/>
    <w:rsid w:val="005B70E6"/>
    <w:rsid w:val="005C3917"/>
    <w:rsid w:val="005D0449"/>
    <w:rsid w:val="005D2B49"/>
    <w:rsid w:val="005D5FBD"/>
    <w:rsid w:val="005E023A"/>
    <w:rsid w:val="005E04E9"/>
    <w:rsid w:val="005E4640"/>
    <w:rsid w:val="005E7C89"/>
    <w:rsid w:val="005E7F97"/>
    <w:rsid w:val="005F0580"/>
    <w:rsid w:val="006063DF"/>
    <w:rsid w:val="00607C9A"/>
    <w:rsid w:val="00611B16"/>
    <w:rsid w:val="00615726"/>
    <w:rsid w:val="0062247F"/>
    <w:rsid w:val="00631565"/>
    <w:rsid w:val="00636808"/>
    <w:rsid w:val="00646760"/>
    <w:rsid w:val="00653DE1"/>
    <w:rsid w:val="00670F65"/>
    <w:rsid w:val="006747E8"/>
    <w:rsid w:val="00676223"/>
    <w:rsid w:val="00690ECB"/>
    <w:rsid w:val="00694D44"/>
    <w:rsid w:val="006A38B4"/>
    <w:rsid w:val="006B2E21"/>
    <w:rsid w:val="006C0266"/>
    <w:rsid w:val="006C1498"/>
    <w:rsid w:val="006C378A"/>
    <w:rsid w:val="006C7BAD"/>
    <w:rsid w:val="006D2D54"/>
    <w:rsid w:val="006D5B29"/>
    <w:rsid w:val="006E0D92"/>
    <w:rsid w:val="006E1A83"/>
    <w:rsid w:val="006F02A7"/>
    <w:rsid w:val="006F2779"/>
    <w:rsid w:val="007060FC"/>
    <w:rsid w:val="00713ED2"/>
    <w:rsid w:val="00731D8A"/>
    <w:rsid w:val="00732583"/>
    <w:rsid w:val="00747E40"/>
    <w:rsid w:val="0075071E"/>
    <w:rsid w:val="00757938"/>
    <w:rsid w:val="0076129C"/>
    <w:rsid w:val="007715B2"/>
    <w:rsid w:val="007732E7"/>
    <w:rsid w:val="007775D2"/>
    <w:rsid w:val="00785486"/>
    <w:rsid w:val="0078682E"/>
    <w:rsid w:val="00795971"/>
    <w:rsid w:val="007A215A"/>
    <w:rsid w:val="007C08DC"/>
    <w:rsid w:val="007C474C"/>
    <w:rsid w:val="007C47CC"/>
    <w:rsid w:val="007D6CFE"/>
    <w:rsid w:val="007E6C08"/>
    <w:rsid w:val="007F62AC"/>
    <w:rsid w:val="00805562"/>
    <w:rsid w:val="0081420B"/>
    <w:rsid w:val="008225FB"/>
    <w:rsid w:val="0083728A"/>
    <w:rsid w:val="0084316C"/>
    <w:rsid w:val="00844647"/>
    <w:rsid w:val="00870825"/>
    <w:rsid w:val="00871B34"/>
    <w:rsid w:val="0088106A"/>
    <w:rsid w:val="00886B05"/>
    <w:rsid w:val="0089555E"/>
    <w:rsid w:val="008A315B"/>
    <w:rsid w:val="008A3175"/>
    <w:rsid w:val="008A7AE3"/>
    <w:rsid w:val="008B0DFC"/>
    <w:rsid w:val="008B2CA4"/>
    <w:rsid w:val="008B3652"/>
    <w:rsid w:val="008C47FB"/>
    <w:rsid w:val="008C4E62"/>
    <w:rsid w:val="008C5AA1"/>
    <w:rsid w:val="008E493A"/>
    <w:rsid w:val="008E5DE9"/>
    <w:rsid w:val="00940A6C"/>
    <w:rsid w:val="00985166"/>
    <w:rsid w:val="00992D4F"/>
    <w:rsid w:val="009976B7"/>
    <w:rsid w:val="009A4FB0"/>
    <w:rsid w:val="009A6411"/>
    <w:rsid w:val="009B06BD"/>
    <w:rsid w:val="009B7A17"/>
    <w:rsid w:val="009C5E0F"/>
    <w:rsid w:val="009D6844"/>
    <w:rsid w:val="009E75FF"/>
    <w:rsid w:val="00A138FF"/>
    <w:rsid w:val="00A178DD"/>
    <w:rsid w:val="00A233FF"/>
    <w:rsid w:val="00A306F5"/>
    <w:rsid w:val="00A31820"/>
    <w:rsid w:val="00A37D58"/>
    <w:rsid w:val="00A4438F"/>
    <w:rsid w:val="00A517B2"/>
    <w:rsid w:val="00A52F9F"/>
    <w:rsid w:val="00A60F11"/>
    <w:rsid w:val="00A80E00"/>
    <w:rsid w:val="00A83E71"/>
    <w:rsid w:val="00A92B1E"/>
    <w:rsid w:val="00AA32E4"/>
    <w:rsid w:val="00AB3A40"/>
    <w:rsid w:val="00AD07B9"/>
    <w:rsid w:val="00AD59DC"/>
    <w:rsid w:val="00AE5543"/>
    <w:rsid w:val="00AE7A95"/>
    <w:rsid w:val="00B0089B"/>
    <w:rsid w:val="00B06DDF"/>
    <w:rsid w:val="00B2295F"/>
    <w:rsid w:val="00B2585D"/>
    <w:rsid w:val="00B3399B"/>
    <w:rsid w:val="00B40182"/>
    <w:rsid w:val="00B45011"/>
    <w:rsid w:val="00B509F6"/>
    <w:rsid w:val="00B72007"/>
    <w:rsid w:val="00B75762"/>
    <w:rsid w:val="00B91DE2"/>
    <w:rsid w:val="00B93212"/>
    <w:rsid w:val="00B94EA2"/>
    <w:rsid w:val="00BA03B0"/>
    <w:rsid w:val="00BA3A7E"/>
    <w:rsid w:val="00BB0A93"/>
    <w:rsid w:val="00BB0E09"/>
    <w:rsid w:val="00BB4B62"/>
    <w:rsid w:val="00BD3D4E"/>
    <w:rsid w:val="00BE2719"/>
    <w:rsid w:val="00BE615C"/>
    <w:rsid w:val="00BF0F2D"/>
    <w:rsid w:val="00BF1465"/>
    <w:rsid w:val="00BF4745"/>
    <w:rsid w:val="00BF5BFC"/>
    <w:rsid w:val="00C0632C"/>
    <w:rsid w:val="00C0725F"/>
    <w:rsid w:val="00C179FA"/>
    <w:rsid w:val="00C316B9"/>
    <w:rsid w:val="00C66E55"/>
    <w:rsid w:val="00C831AF"/>
    <w:rsid w:val="00C84DF7"/>
    <w:rsid w:val="00C96337"/>
    <w:rsid w:val="00C96BED"/>
    <w:rsid w:val="00C97D91"/>
    <w:rsid w:val="00CB44D2"/>
    <w:rsid w:val="00CC1F23"/>
    <w:rsid w:val="00CC6ED8"/>
    <w:rsid w:val="00CC7239"/>
    <w:rsid w:val="00CD0B19"/>
    <w:rsid w:val="00CD3ECD"/>
    <w:rsid w:val="00CE2700"/>
    <w:rsid w:val="00CE6B0C"/>
    <w:rsid w:val="00CF1F70"/>
    <w:rsid w:val="00D0305F"/>
    <w:rsid w:val="00D039A0"/>
    <w:rsid w:val="00D1079A"/>
    <w:rsid w:val="00D272CF"/>
    <w:rsid w:val="00D350DE"/>
    <w:rsid w:val="00D3595F"/>
    <w:rsid w:val="00D36189"/>
    <w:rsid w:val="00D410E9"/>
    <w:rsid w:val="00D4144B"/>
    <w:rsid w:val="00D416AE"/>
    <w:rsid w:val="00D44DB5"/>
    <w:rsid w:val="00D47BDF"/>
    <w:rsid w:val="00D61EC1"/>
    <w:rsid w:val="00D72473"/>
    <w:rsid w:val="00D76545"/>
    <w:rsid w:val="00D80C64"/>
    <w:rsid w:val="00D92BE0"/>
    <w:rsid w:val="00DA366C"/>
    <w:rsid w:val="00DC2CC6"/>
    <w:rsid w:val="00DC5493"/>
    <w:rsid w:val="00DE06F1"/>
    <w:rsid w:val="00DE5ECD"/>
    <w:rsid w:val="00DF6FBA"/>
    <w:rsid w:val="00E13235"/>
    <w:rsid w:val="00E243EA"/>
    <w:rsid w:val="00E33A25"/>
    <w:rsid w:val="00E4188B"/>
    <w:rsid w:val="00E42050"/>
    <w:rsid w:val="00E54C4D"/>
    <w:rsid w:val="00E56328"/>
    <w:rsid w:val="00E96243"/>
    <w:rsid w:val="00EA01A2"/>
    <w:rsid w:val="00EA568C"/>
    <w:rsid w:val="00EA767F"/>
    <w:rsid w:val="00EB04AA"/>
    <w:rsid w:val="00EB59EE"/>
    <w:rsid w:val="00EC1E98"/>
    <w:rsid w:val="00ED7779"/>
    <w:rsid w:val="00EE3F6F"/>
    <w:rsid w:val="00EF16D0"/>
    <w:rsid w:val="00F03C78"/>
    <w:rsid w:val="00F054D2"/>
    <w:rsid w:val="00F107B4"/>
    <w:rsid w:val="00F10AFE"/>
    <w:rsid w:val="00F12172"/>
    <w:rsid w:val="00F2765C"/>
    <w:rsid w:val="00F31004"/>
    <w:rsid w:val="00F34E90"/>
    <w:rsid w:val="00F42683"/>
    <w:rsid w:val="00F527A4"/>
    <w:rsid w:val="00F54D2C"/>
    <w:rsid w:val="00F64167"/>
    <w:rsid w:val="00F6673B"/>
    <w:rsid w:val="00F7192D"/>
    <w:rsid w:val="00F77AAD"/>
    <w:rsid w:val="00F8303E"/>
    <w:rsid w:val="00F90636"/>
    <w:rsid w:val="00F916C4"/>
    <w:rsid w:val="00F94599"/>
    <w:rsid w:val="00FA6F60"/>
    <w:rsid w:val="00FB097B"/>
    <w:rsid w:val="00FB33B8"/>
    <w:rsid w:val="00FE157D"/>
    <w:rsid w:val="00FE331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  <w14:docId w14:val="39616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1E43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07D8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7D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07D8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7D87"/>
    <w:rPr>
      <w:rFonts w:ascii="Calibri" w:eastAsia="Calibri" w:hAnsi="Calibri" w:cs="Times New Roman"/>
    </w:rPr>
  </w:style>
  <w:style w:type="paragraph" w:customStyle="1" w:styleId="msonormalmrcssattr">
    <w:name w:val="msonormal_mr_css_attr"/>
    <w:basedOn w:val="Normal"/>
    <w:rsid w:val="001622E2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uto-style151">
    <w:name w:val="auto-style151"/>
    <w:basedOn w:val="DefaultParagraphFont"/>
    <w:rsid w:val="00AB3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nimedmc.am/lab/test/anti-thyroid-peroxidase/" TargetMode="External"/><Relationship Id="rId18" Type="http://schemas.openxmlformats.org/officeDocument/2006/relationships/hyperlink" Target="https://medex.am/lab-tests/ft3" TargetMode="External"/><Relationship Id="rId3" Type="http://schemas.openxmlformats.org/officeDocument/2006/relationships/styles" Target="styles.xml"/><Relationship Id="rId21" Type="http://schemas.openxmlformats.org/officeDocument/2006/relationships/hyperlink" Target="http://unimedmc.am/lab/test/anti-thyroid-peroxidase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medex.am/lab-tests/ft3" TargetMode="External"/><Relationship Id="rId17" Type="http://schemas.openxmlformats.org/officeDocument/2006/relationships/hyperlink" Target="https://medex.am/lab-tests/ft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dex.am/lab-tests/ft3" TargetMode="External"/><Relationship Id="rId20" Type="http://schemas.openxmlformats.org/officeDocument/2006/relationships/hyperlink" Target="http://unimedmc.am/lab/test/anti-thyroid-peroxidas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ex.am/lab-tests/ft3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edex.am/lab-tests/ft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edex.am/lab-tests/ft3" TargetMode="External"/><Relationship Id="rId19" Type="http://schemas.openxmlformats.org/officeDocument/2006/relationships/hyperlink" Target="http://unimedmc.am/lab/test/anti-thyroid-peroxidas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dex.am/lab-tests/ft3" TargetMode="External"/><Relationship Id="rId14" Type="http://schemas.openxmlformats.org/officeDocument/2006/relationships/hyperlink" Target="http://unimedmc.am/lab/test/anti-thyroid-peroxidase/" TargetMode="External"/><Relationship Id="rId22" Type="http://schemas.openxmlformats.org/officeDocument/2006/relationships/hyperlink" Target="http://unimedmc.am/lab/test/anti-thyroid-peroxida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D52FA-E2D7-4E62-84BC-FBF8277E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8</Pages>
  <Words>3171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127</cp:revision>
  <cp:lastPrinted>2024-08-15T13:11:00Z</cp:lastPrinted>
  <dcterms:created xsi:type="dcterms:W3CDTF">2021-08-12T10:51:00Z</dcterms:created>
  <dcterms:modified xsi:type="dcterms:W3CDTF">2026-03-06T03:09:00Z</dcterms:modified>
</cp:coreProperties>
</file>